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997C" w14:textId="0B14F6FA" w:rsidR="00773CF7" w:rsidRPr="00CC5505" w:rsidRDefault="005B1EAF" w:rsidP="004661E2">
      <w:pPr>
        <w:pStyle w:val="Normal1"/>
        <w:rPr>
          <w:rFonts w:ascii="Segoe UI" w:eastAsia="Book Antiqua" w:hAnsi="Segoe UI" w:cs="Segoe UI"/>
          <w:b/>
          <w:sz w:val="28"/>
          <w:szCs w:val="28"/>
        </w:rPr>
      </w:pPr>
      <w:r w:rsidRPr="00CC5505">
        <w:rPr>
          <w:rFonts w:ascii="Segoe UI" w:eastAsia="Book Antiqua" w:hAnsi="Segoe UI" w:cs="Segoe UI"/>
          <w:b/>
          <w:sz w:val="28"/>
          <w:szCs w:val="28"/>
        </w:rPr>
        <w:t>Leadership Effectiveness: Education for Sustainable Development</w:t>
      </w:r>
    </w:p>
    <w:p w14:paraId="7D6E5288" w14:textId="77777777" w:rsidR="00585B9E" w:rsidRPr="00CC5505" w:rsidRDefault="00585B9E" w:rsidP="004661E2">
      <w:pPr>
        <w:pStyle w:val="Normal1"/>
        <w:rPr>
          <w:rFonts w:ascii="Segoe UI" w:eastAsia="Book Antiqua" w:hAnsi="Segoe UI" w:cs="Segoe UI"/>
          <w:b/>
          <w:bCs/>
          <w:sz w:val="22"/>
          <w:szCs w:val="22"/>
        </w:rPr>
      </w:pPr>
    </w:p>
    <w:p w14:paraId="2DA692BC" w14:textId="28C6603D" w:rsidR="00630383" w:rsidRPr="00CC5505" w:rsidRDefault="004661E2" w:rsidP="000F7BB2">
      <w:pPr>
        <w:pStyle w:val="Normal1"/>
        <w:spacing w:after="120"/>
        <w:rPr>
          <w:rFonts w:ascii="Segoe UI" w:eastAsia="Book Antiqua" w:hAnsi="Segoe UI" w:cs="Segoe UI"/>
          <w:b/>
          <w:bCs/>
          <w:sz w:val="22"/>
          <w:szCs w:val="22"/>
        </w:rPr>
      </w:pPr>
      <w:r w:rsidRPr="00CC5505">
        <w:rPr>
          <w:rFonts w:ascii="Segoe UI" w:eastAsia="Book Antiqua" w:hAnsi="Segoe UI" w:cs="Segoe UI"/>
          <w:b/>
          <w:bCs/>
          <w:sz w:val="22"/>
          <w:szCs w:val="22"/>
        </w:rPr>
        <w:t>Muhammad Yusup</w:t>
      </w:r>
      <w:r w:rsidR="00820CDF" w:rsidRPr="00CC5505">
        <w:rPr>
          <w:rFonts w:ascii="Segoe UI" w:eastAsia="Book Antiqua" w:hAnsi="Segoe UI" w:cs="Segoe UI"/>
          <w:b/>
          <w:bCs/>
          <w:sz w:val="22"/>
          <w:szCs w:val="22"/>
        </w:rPr>
        <w:t>,</w:t>
      </w:r>
      <w:r w:rsidR="00EB3AD5" w:rsidRPr="00CC5505">
        <w:rPr>
          <w:rFonts w:ascii="Segoe UI" w:eastAsia="Book Antiqua" w:hAnsi="Segoe UI" w:cs="Segoe UI"/>
          <w:b/>
          <w:bCs/>
          <w:sz w:val="22"/>
          <w:szCs w:val="22"/>
          <w:vertAlign w:val="superscript"/>
        </w:rPr>
        <w:t>1</w:t>
      </w:r>
      <w:r w:rsidR="00585B9E" w:rsidRPr="00CC5505">
        <w:rPr>
          <w:rFonts w:ascii="Segoe UI" w:eastAsia="Book Antiqua" w:hAnsi="Segoe UI" w:cs="Segoe UI"/>
          <w:b/>
          <w:bCs/>
          <w:sz w:val="22"/>
          <w:szCs w:val="22"/>
        </w:rPr>
        <w:t>*</w:t>
      </w:r>
      <w:r w:rsidR="00EB3AD5" w:rsidRPr="00CC5505">
        <w:rPr>
          <w:rFonts w:ascii="Segoe UI" w:eastAsia="Book Antiqua" w:hAnsi="Segoe UI" w:cs="Segoe UI"/>
          <w:b/>
          <w:bCs/>
          <w:sz w:val="22"/>
          <w:szCs w:val="22"/>
        </w:rPr>
        <w:t xml:space="preserve"> </w:t>
      </w:r>
      <w:r w:rsidR="000F7BB2" w:rsidRPr="00CC5505">
        <w:rPr>
          <w:rFonts w:ascii="Segoe UI" w:eastAsia="Book Antiqua" w:hAnsi="Segoe UI" w:cs="Segoe UI"/>
          <w:b/>
          <w:bCs/>
          <w:sz w:val="22"/>
          <w:szCs w:val="22"/>
        </w:rPr>
        <w:t>Muhammad Dirga,</w:t>
      </w:r>
      <w:r w:rsidR="000F7BB2" w:rsidRPr="00CC5505">
        <w:rPr>
          <w:rFonts w:ascii="Segoe UI" w:eastAsia="Book Antiqua" w:hAnsi="Segoe UI" w:cs="Segoe UI"/>
          <w:b/>
          <w:bCs/>
          <w:sz w:val="22"/>
          <w:szCs w:val="22"/>
          <w:vertAlign w:val="superscript"/>
        </w:rPr>
        <w:t xml:space="preserve">2 </w:t>
      </w:r>
      <w:r w:rsidR="000F7BB2" w:rsidRPr="00CC5505">
        <w:rPr>
          <w:rFonts w:ascii="Segoe UI" w:eastAsia="Book Antiqua" w:hAnsi="Segoe UI" w:cs="Segoe UI"/>
          <w:b/>
          <w:bCs/>
          <w:sz w:val="22"/>
          <w:szCs w:val="22"/>
        </w:rPr>
        <w:t>Rifai Hasan Sholeh</w:t>
      </w:r>
      <w:r w:rsidR="000F7BB2" w:rsidRPr="00CC5505">
        <w:rPr>
          <w:rFonts w:ascii="Segoe UI" w:eastAsia="Book Antiqua" w:hAnsi="Segoe UI" w:cs="Segoe UI"/>
          <w:b/>
          <w:bCs/>
          <w:sz w:val="22"/>
          <w:szCs w:val="22"/>
          <w:vertAlign w:val="superscript"/>
        </w:rPr>
        <w:t>3</w:t>
      </w:r>
    </w:p>
    <w:p w14:paraId="53A4A8F2" w14:textId="621A9646" w:rsidR="004661E2" w:rsidRPr="00CC5505" w:rsidRDefault="00EB3AD5" w:rsidP="005C2E0F">
      <w:pPr>
        <w:pStyle w:val="Normal1"/>
        <w:rPr>
          <w:rFonts w:ascii="Segoe UI" w:eastAsia="Book Antiqua" w:hAnsi="Segoe UI" w:cs="Segoe UI"/>
          <w:sz w:val="22"/>
          <w:szCs w:val="22"/>
        </w:rPr>
      </w:pPr>
      <w:r w:rsidRPr="00CC5505">
        <w:rPr>
          <w:rFonts w:ascii="Segoe UI" w:eastAsia="Book Antiqua" w:hAnsi="Segoe UI" w:cs="Segoe UI"/>
          <w:b/>
          <w:bCs/>
          <w:sz w:val="22"/>
          <w:szCs w:val="22"/>
          <w:vertAlign w:val="superscript"/>
        </w:rPr>
        <w:t>1</w:t>
      </w:r>
      <w:r w:rsidR="004661E2" w:rsidRPr="00CC5505">
        <w:rPr>
          <w:rFonts w:ascii="Segoe UI" w:eastAsia="Book Antiqua" w:hAnsi="Segoe UI" w:cs="Segoe UI"/>
          <w:b/>
          <w:bCs/>
          <w:sz w:val="22"/>
          <w:szCs w:val="22"/>
          <w:vertAlign w:val="superscript"/>
        </w:rPr>
        <w:t xml:space="preserve"> </w:t>
      </w:r>
      <w:r w:rsidR="00893684">
        <w:rPr>
          <w:rFonts w:ascii="Segoe UI" w:eastAsia="Book Antiqua" w:hAnsi="Segoe UI" w:cs="Segoe UI"/>
          <w:sz w:val="22"/>
          <w:szCs w:val="22"/>
        </w:rPr>
        <w:t>Universitas Islam Nusantara</w:t>
      </w:r>
      <w:r w:rsidR="004661E2" w:rsidRPr="00CC5505">
        <w:rPr>
          <w:rFonts w:ascii="Segoe UI" w:eastAsia="Book Antiqua" w:hAnsi="Segoe UI" w:cs="Segoe UI"/>
          <w:sz w:val="22"/>
          <w:szCs w:val="22"/>
        </w:rPr>
        <w:t xml:space="preserve"> Batanghari</w:t>
      </w:r>
      <w:r w:rsidR="00893684">
        <w:rPr>
          <w:rFonts w:ascii="Segoe UI" w:eastAsia="Book Antiqua" w:hAnsi="Segoe UI" w:cs="Segoe UI"/>
          <w:sz w:val="22"/>
          <w:szCs w:val="22"/>
        </w:rPr>
        <w:t>,</w:t>
      </w:r>
      <w:r w:rsidR="004661E2" w:rsidRPr="00CC5505">
        <w:rPr>
          <w:rFonts w:ascii="Segoe UI" w:eastAsia="Book Antiqua" w:hAnsi="Segoe UI" w:cs="Segoe UI"/>
          <w:sz w:val="22"/>
          <w:szCs w:val="22"/>
        </w:rPr>
        <w:t xml:space="preserve"> Jambi</w:t>
      </w:r>
      <w:r w:rsidR="00893684">
        <w:rPr>
          <w:rFonts w:ascii="Segoe UI" w:eastAsia="Book Antiqua" w:hAnsi="Segoe UI" w:cs="Segoe UI"/>
          <w:sz w:val="22"/>
          <w:szCs w:val="22"/>
        </w:rPr>
        <w:t>.</w:t>
      </w:r>
    </w:p>
    <w:p w14:paraId="4EC1E722" w14:textId="3103E0CF" w:rsidR="00C3539C" w:rsidRPr="00CC5505" w:rsidRDefault="000F7BB2" w:rsidP="005C2E0F">
      <w:pPr>
        <w:pStyle w:val="Normal1"/>
        <w:rPr>
          <w:rFonts w:ascii="Segoe UI" w:eastAsia="Book Antiqua" w:hAnsi="Segoe UI" w:cs="Segoe UI"/>
          <w:sz w:val="22"/>
          <w:szCs w:val="22"/>
        </w:rPr>
      </w:pPr>
      <w:r w:rsidRPr="00CC5505">
        <w:rPr>
          <w:rFonts w:ascii="Segoe UI" w:eastAsia="Book Antiqua" w:hAnsi="Segoe UI" w:cs="Segoe UI"/>
          <w:b/>
          <w:bCs/>
          <w:sz w:val="22"/>
          <w:szCs w:val="22"/>
          <w:vertAlign w:val="superscript"/>
        </w:rPr>
        <w:t>2</w:t>
      </w:r>
      <w:r w:rsidR="004661E2" w:rsidRPr="00CC5505">
        <w:rPr>
          <w:rFonts w:ascii="Segoe UI" w:eastAsia="Book Antiqua" w:hAnsi="Segoe UI" w:cs="Segoe UI"/>
          <w:b/>
          <w:bCs/>
          <w:sz w:val="22"/>
          <w:szCs w:val="22"/>
          <w:vertAlign w:val="superscript"/>
        </w:rPr>
        <w:t xml:space="preserve"> </w:t>
      </w:r>
      <w:r w:rsidR="0028460C" w:rsidRPr="00CC5505">
        <w:rPr>
          <w:rFonts w:ascii="Segoe UI" w:eastAsia="Book Antiqua" w:hAnsi="Segoe UI" w:cs="Segoe UI"/>
          <w:sz w:val="22"/>
          <w:szCs w:val="22"/>
        </w:rPr>
        <w:t>Universitas Negeri Semarang</w:t>
      </w:r>
      <w:r w:rsidR="00893684">
        <w:rPr>
          <w:rFonts w:ascii="Segoe UI" w:eastAsia="Book Antiqua" w:hAnsi="Segoe UI" w:cs="Segoe UI"/>
          <w:sz w:val="22"/>
          <w:szCs w:val="22"/>
        </w:rPr>
        <w:t>.</w:t>
      </w:r>
    </w:p>
    <w:p w14:paraId="4315476C" w14:textId="280A6D3C" w:rsidR="000D09A8" w:rsidRPr="00CC5505" w:rsidRDefault="000F7BB2" w:rsidP="005C2E0F">
      <w:pPr>
        <w:pStyle w:val="Normal1"/>
        <w:rPr>
          <w:rFonts w:ascii="Segoe UI" w:eastAsia="Book Antiqua" w:hAnsi="Segoe UI" w:cs="Segoe UI"/>
          <w:sz w:val="22"/>
          <w:szCs w:val="22"/>
        </w:rPr>
      </w:pPr>
      <w:r w:rsidRPr="00CC5505">
        <w:rPr>
          <w:rFonts w:ascii="Segoe UI" w:eastAsia="Book Antiqua" w:hAnsi="Segoe UI" w:cs="Segoe UI"/>
          <w:b/>
          <w:bCs/>
          <w:sz w:val="22"/>
          <w:szCs w:val="22"/>
          <w:vertAlign w:val="superscript"/>
        </w:rPr>
        <w:t>3</w:t>
      </w:r>
      <w:r w:rsidR="000D09A8" w:rsidRPr="00CC5505">
        <w:rPr>
          <w:rFonts w:ascii="Segoe UI" w:eastAsia="Book Antiqua" w:hAnsi="Segoe UI" w:cs="Segoe UI"/>
          <w:b/>
          <w:bCs/>
          <w:sz w:val="22"/>
          <w:szCs w:val="22"/>
          <w:vertAlign w:val="superscript"/>
        </w:rPr>
        <w:t xml:space="preserve"> </w:t>
      </w:r>
      <w:r w:rsidR="000D09A8" w:rsidRPr="00CC5505">
        <w:rPr>
          <w:rFonts w:ascii="Segoe UI" w:eastAsia="Book Antiqua" w:hAnsi="Segoe UI" w:cs="Segoe UI"/>
          <w:sz w:val="22"/>
          <w:szCs w:val="22"/>
        </w:rPr>
        <w:t xml:space="preserve">Universitas </w:t>
      </w:r>
      <w:proofErr w:type="spellStart"/>
      <w:r w:rsidR="000D09A8" w:rsidRPr="00CC5505">
        <w:rPr>
          <w:rFonts w:ascii="Segoe UI" w:eastAsia="Book Antiqua" w:hAnsi="Segoe UI" w:cs="Segoe UI"/>
          <w:sz w:val="22"/>
          <w:szCs w:val="22"/>
        </w:rPr>
        <w:t>Mandalika</w:t>
      </w:r>
      <w:proofErr w:type="spellEnd"/>
      <w:r w:rsidR="000D09A8" w:rsidRPr="00CC5505">
        <w:rPr>
          <w:rFonts w:ascii="Segoe UI" w:eastAsia="Book Antiqua" w:hAnsi="Segoe UI" w:cs="Segoe UI"/>
          <w:sz w:val="22"/>
          <w:szCs w:val="22"/>
        </w:rPr>
        <w:t>, Nusa Tenggara Barat</w:t>
      </w:r>
      <w:r w:rsidR="00893684">
        <w:rPr>
          <w:rFonts w:ascii="Segoe UI" w:eastAsia="Book Antiqua" w:hAnsi="Segoe UI" w:cs="Segoe UI"/>
          <w:sz w:val="22"/>
          <w:szCs w:val="22"/>
        </w:rPr>
        <w:t>.</w:t>
      </w:r>
    </w:p>
    <w:p w14:paraId="77D8826E" w14:textId="77777777" w:rsidR="000D09A8" w:rsidRPr="00CC5505" w:rsidRDefault="000D09A8" w:rsidP="004661E2">
      <w:pPr>
        <w:pStyle w:val="Normal1"/>
        <w:rPr>
          <w:rFonts w:ascii="Segoe UI" w:eastAsia="Book Antiqua" w:hAnsi="Segoe UI" w:cs="Segoe UI"/>
          <w:sz w:val="22"/>
          <w:szCs w:val="22"/>
        </w:rPr>
      </w:pPr>
    </w:p>
    <w:p w14:paraId="462DA28C" w14:textId="77777777" w:rsidR="00A62E7E" w:rsidRPr="00CC5505" w:rsidRDefault="00A62E7E" w:rsidP="004661E2">
      <w:pPr>
        <w:pStyle w:val="Normal1"/>
        <w:rPr>
          <w:rFonts w:ascii="Segoe UI" w:eastAsia="Book Antiqua" w:hAnsi="Segoe UI" w:cs="Segoe UI"/>
          <w:sz w:val="22"/>
          <w:szCs w:val="22"/>
        </w:rPr>
      </w:pPr>
    </w:p>
    <w:tbl>
      <w:tblPr>
        <w:tblStyle w:val="a"/>
        <w:tblW w:w="9214" w:type="dxa"/>
        <w:tblBorders>
          <w:top w:val="nil"/>
          <w:left w:val="nil"/>
          <w:bottom w:val="nil"/>
          <w:right w:val="nil"/>
          <w:insideH w:val="nil"/>
          <w:insideV w:val="nil"/>
        </w:tblBorders>
        <w:tblLayout w:type="fixed"/>
        <w:tblLook w:val="0400" w:firstRow="0" w:lastRow="0" w:firstColumn="0" w:lastColumn="0" w:noHBand="0" w:noVBand="1"/>
      </w:tblPr>
      <w:tblGrid>
        <w:gridCol w:w="6756"/>
        <w:gridCol w:w="2458"/>
      </w:tblGrid>
      <w:tr w:rsidR="00276F40" w:rsidRPr="00CC5505" w14:paraId="1F6F3940" w14:textId="77777777" w:rsidTr="005B1EAF">
        <w:trPr>
          <w:cantSplit/>
          <w:trHeight w:val="4906"/>
          <w:tblHeader/>
        </w:trPr>
        <w:tc>
          <w:tcPr>
            <w:tcW w:w="6756" w:type="dxa"/>
            <w:shd w:val="clear" w:color="auto" w:fill="DBE5F1"/>
          </w:tcPr>
          <w:p w14:paraId="7D76C40E" w14:textId="0A2C8895" w:rsidR="00276F40" w:rsidRPr="00CC5505" w:rsidRDefault="003C70B3" w:rsidP="004661E2">
            <w:pPr>
              <w:pStyle w:val="Heading3"/>
              <w:shd w:val="clear" w:color="auto" w:fill="DBE5F1"/>
              <w:rPr>
                <w:rFonts w:ascii="Segoe UI" w:hAnsi="Segoe UI" w:cs="Segoe UI"/>
                <w:i/>
                <w:color w:val="366091"/>
              </w:rPr>
            </w:pPr>
            <w:r w:rsidRPr="00CC5505">
              <w:rPr>
                <w:rFonts w:ascii="Segoe UI" w:hAnsi="Segoe UI" w:cs="Segoe UI"/>
                <w:b/>
                <w:i/>
                <w:color w:val="366091"/>
              </w:rPr>
              <w:t>ABSTRACT</w:t>
            </w:r>
            <w:r w:rsidRPr="00CC5505">
              <w:rPr>
                <w:rFonts w:ascii="Segoe UI" w:hAnsi="Segoe UI" w:cs="Segoe UI"/>
                <w:i/>
                <w:color w:val="366091"/>
              </w:rPr>
              <w:t xml:space="preserve"> </w:t>
            </w:r>
          </w:p>
          <w:p w14:paraId="504C42B9" w14:textId="26F2AE67" w:rsidR="00276F40" w:rsidRPr="00CC5505" w:rsidRDefault="005B1EAF" w:rsidP="004661E2">
            <w:pPr>
              <w:pStyle w:val="Normal1"/>
              <w:jc w:val="both"/>
              <w:rPr>
                <w:rFonts w:ascii="Cambria" w:eastAsia="Cambria" w:hAnsi="Cambria" w:cs="Cambria"/>
                <w:iCs/>
                <w:sz w:val="22"/>
                <w:szCs w:val="22"/>
                <w:lang w:val="id-ID"/>
              </w:rPr>
            </w:pPr>
            <w:proofErr w:type="spellStart"/>
            <w:r w:rsidRPr="00CC5505">
              <w:rPr>
                <w:rFonts w:ascii="Cambria" w:eastAsia="Cambria" w:hAnsi="Cambria" w:cs="Cambria"/>
                <w:iCs/>
                <w:sz w:val="22"/>
                <w:szCs w:val="22"/>
                <w:lang w:val="id-ID"/>
              </w:rPr>
              <w:t>This</w:t>
            </w:r>
            <w:proofErr w:type="spellEnd"/>
            <w:r w:rsidRPr="00CC5505">
              <w:rPr>
                <w:rFonts w:ascii="Cambria" w:eastAsia="Cambria" w:hAnsi="Cambria" w:cs="Cambria"/>
                <w:iCs/>
                <w:sz w:val="22"/>
                <w:szCs w:val="22"/>
                <w:lang w:val="id-ID"/>
              </w:rPr>
              <w:t xml:space="preserve"> study </w:t>
            </w:r>
            <w:proofErr w:type="spellStart"/>
            <w:r w:rsidRPr="00CC5505">
              <w:rPr>
                <w:rFonts w:ascii="Cambria" w:eastAsia="Cambria" w:hAnsi="Cambria" w:cs="Cambria"/>
                <w:iCs/>
                <w:sz w:val="22"/>
                <w:szCs w:val="22"/>
                <w:lang w:val="id-ID"/>
              </w:rPr>
              <w:t>explores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the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effectiveness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of</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leadership</w:t>
            </w:r>
            <w:proofErr w:type="spellEnd"/>
            <w:r w:rsidRPr="00CC5505">
              <w:rPr>
                <w:rFonts w:ascii="Cambria" w:eastAsia="Cambria" w:hAnsi="Cambria" w:cs="Cambria"/>
                <w:iCs/>
                <w:sz w:val="22"/>
                <w:szCs w:val="22"/>
                <w:lang w:val="id-ID"/>
              </w:rPr>
              <w:t xml:space="preserve"> in </w:t>
            </w:r>
            <w:proofErr w:type="spellStart"/>
            <w:r w:rsidRPr="00CC5505">
              <w:rPr>
                <w:rFonts w:ascii="Cambria" w:eastAsia="Cambria" w:hAnsi="Cambria" w:cs="Cambria"/>
                <w:iCs/>
                <w:sz w:val="22"/>
                <w:szCs w:val="22"/>
                <w:lang w:val="id-ID"/>
              </w:rPr>
              <w:t>Education for Sustainable</w:t>
            </w:r>
            <w:proofErr w:type="spellEnd"/>
            <w:r w:rsidRPr="00CC5505">
              <w:rPr>
                <w:rFonts w:ascii="Cambria" w:eastAsia="Cambria" w:hAnsi="Cambria" w:cs="Cambria"/>
                <w:iCs/>
                <w:sz w:val="22"/>
                <w:szCs w:val="22"/>
                <w:lang w:val="id-ID"/>
              </w:rPr>
              <w:t xml:space="preserve"> Development (ESD) </w:t>
            </w:r>
            <w:proofErr w:type="spellStart"/>
            <w:r w:rsidRPr="00CC5505">
              <w:rPr>
                <w:rFonts w:ascii="Cambria" w:eastAsia="Cambria" w:hAnsi="Cambria" w:cs="Cambria"/>
                <w:iCs/>
                <w:sz w:val="22"/>
                <w:szCs w:val="22"/>
                <w:lang w:val="id-ID"/>
              </w:rPr>
              <w:t>amid</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growing</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environmental</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and</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social</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challenges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that</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demand</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the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integration</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of</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sustainability</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principles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into</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the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curriculum</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Employing</w:t>
            </w:r>
            <w:proofErr w:type="spellEnd"/>
            <w:r w:rsidRPr="00CC5505">
              <w:rPr>
                <w:rFonts w:ascii="Cambria" w:eastAsia="Cambria" w:hAnsi="Cambria" w:cs="Cambria"/>
                <w:iCs/>
                <w:sz w:val="22"/>
                <w:szCs w:val="22"/>
                <w:lang w:val="id-ID"/>
              </w:rPr>
              <w:t xml:space="preserve"> a </w:t>
            </w:r>
            <w:proofErr w:type="spellStart"/>
            <w:r w:rsidRPr="00CC5505">
              <w:rPr>
                <w:rFonts w:ascii="Cambria" w:eastAsia="Cambria" w:hAnsi="Cambria" w:cs="Cambria"/>
                <w:iCs/>
                <w:sz w:val="22"/>
                <w:szCs w:val="22"/>
                <w:lang w:val="id-ID"/>
              </w:rPr>
              <w:t>qualitative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approach</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through</w:t>
            </w:r>
            <w:proofErr w:type="spellEnd"/>
            <w:r w:rsidRPr="00CC5505">
              <w:rPr>
                <w:rFonts w:ascii="Cambria" w:eastAsia="Cambria" w:hAnsi="Cambria" w:cs="Cambria"/>
                <w:iCs/>
                <w:sz w:val="22"/>
                <w:szCs w:val="22"/>
                <w:lang w:val="id-ID"/>
              </w:rPr>
              <w:t xml:space="preserve"> in-</w:t>
            </w:r>
            <w:proofErr w:type="spellStart"/>
            <w:r w:rsidRPr="00CC5505">
              <w:rPr>
                <w:rFonts w:ascii="Cambria" w:eastAsia="Cambria" w:hAnsi="Cambria" w:cs="Cambria"/>
                <w:iCs/>
                <w:sz w:val="22"/>
                <w:szCs w:val="22"/>
                <w:lang w:val="id-ID"/>
              </w:rPr>
              <w:t>depth</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interviews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and</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case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studies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at</w:t>
            </w:r>
            <w:proofErr w:type="spellEnd"/>
            <w:r w:rsidRPr="00CC5505">
              <w:rPr>
                <w:rFonts w:ascii="Cambria" w:eastAsia="Cambria" w:hAnsi="Cambria" w:cs="Cambria"/>
                <w:iCs/>
                <w:sz w:val="22"/>
                <w:szCs w:val="22"/>
                <w:lang w:val="id-ID"/>
              </w:rPr>
              <w:t xml:space="preserve"> a </w:t>
            </w:r>
            <w:proofErr w:type="spellStart"/>
            <w:r w:rsidRPr="00CC5505">
              <w:rPr>
                <w:rFonts w:ascii="Cambria" w:eastAsia="Cambria" w:hAnsi="Cambria" w:cs="Cambria"/>
                <w:iCs/>
                <w:sz w:val="22"/>
                <w:szCs w:val="22"/>
                <w:lang w:val="id-ID"/>
              </w:rPr>
              <w:t>number</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of</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institutions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that</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have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successfully</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implemented</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sustainable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education</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practices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this</w:t>
            </w:r>
            <w:proofErr w:type="spellEnd"/>
            <w:r w:rsidRPr="00CC5505">
              <w:rPr>
                <w:rFonts w:ascii="Cambria" w:eastAsia="Cambria" w:hAnsi="Cambria" w:cs="Cambria"/>
                <w:iCs/>
                <w:sz w:val="22"/>
                <w:szCs w:val="22"/>
                <w:lang w:val="id-ID"/>
              </w:rPr>
              <w:t xml:space="preserve"> study </w:t>
            </w:r>
            <w:proofErr w:type="spellStart"/>
            <w:r w:rsidRPr="00CC5505">
              <w:rPr>
                <w:rFonts w:ascii="Cambria" w:eastAsia="Cambria" w:hAnsi="Cambria" w:cs="Cambria"/>
                <w:iCs/>
                <w:sz w:val="22"/>
                <w:szCs w:val="22"/>
                <w:lang w:val="id-ID"/>
              </w:rPr>
              <w:t>shows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that</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effective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leadership</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is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characterized</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by</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the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ability</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to</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inspire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educate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and</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empower</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the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educational</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community</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Successful</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leaders</w:t>
            </w:r>
            <w:proofErr w:type="spellEnd"/>
            <w:r w:rsidRPr="00CC5505">
              <w:rPr>
                <w:rFonts w:ascii="Cambria" w:eastAsia="Cambria" w:hAnsi="Cambria" w:cs="Cambria"/>
                <w:iCs/>
                <w:sz w:val="22"/>
                <w:szCs w:val="22"/>
                <w:lang w:val="id-ID"/>
              </w:rPr>
              <w:t xml:space="preserve"> are </w:t>
            </w:r>
            <w:proofErr w:type="spellStart"/>
            <w:r w:rsidRPr="00CC5505">
              <w:rPr>
                <w:rFonts w:ascii="Cambria" w:eastAsia="Cambria" w:hAnsi="Cambria" w:cs="Cambria"/>
                <w:iCs/>
                <w:sz w:val="22"/>
                <w:szCs w:val="22"/>
                <w:lang w:val="id-ID"/>
              </w:rPr>
              <w:t>able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to</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build</w:t>
            </w:r>
            <w:proofErr w:type="spellEnd"/>
            <w:r w:rsidRPr="00CC5505">
              <w:rPr>
                <w:rFonts w:ascii="Cambria" w:eastAsia="Cambria" w:hAnsi="Cambria" w:cs="Cambria"/>
                <w:iCs/>
                <w:sz w:val="22"/>
                <w:szCs w:val="22"/>
                <w:lang w:val="id-ID"/>
              </w:rPr>
              <w:t xml:space="preserve"> a </w:t>
            </w:r>
            <w:proofErr w:type="spellStart"/>
            <w:r w:rsidRPr="00CC5505">
              <w:rPr>
                <w:rFonts w:ascii="Cambria" w:eastAsia="Cambria" w:hAnsi="Cambria" w:cs="Cambria"/>
                <w:iCs/>
                <w:sz w:val="22"/>
                <w:szCs w:val="22"/>
                <w:lang w:val="id-ID"/>
              </w:rPr>
              <w:t>shared</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vision</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and</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facilitate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collaboration</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across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stakeholders</w:t>
            </w:r>
            <w:proofErr w:type="spellEnd"/>
            <w:r w:rsidRPr="00CC5505">
              <w:rPr>
                <w:rFonts w:ascii="Cambria" w:eastAsia="Cambria" w:hAnsi="Cambria" w:cs="Cambria"/>
                <w:iCs/>
                <w:sz w:val="22"/>
                <w:szCs w:val="22"/>
                <w:lang w:val="id-ID"/>
              </w:rPr>
              <w:t>—</w:t>
            </w:r>
            <w:proofErr w:type="spellStart"/>
            <w:r w:rsidRPr="00CC5505">
              <w:rPr>
                <w:rFonts w:ascii="Cambria" w:eastAsia="Cambria" w:hAnsi="Cambria" w:cs="Cambria"/>
                <w:iCs/>
                <w:sz w:val="22"/>
                <w:szCs w:val="22"/>
                <w:lang w:val="id-ID"/>
              </w:rPr>
              <w:t>students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teachers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and</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the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community</w:t>
            </w:r>
            <w:proofErr w:type="spellEnd"/>
            <w:r w:rsidRPr="00CC5505">
              <w:rPr>
                <w:rFonts w:ascii="Cambria" w:eastAsia="Cambria" w:hAnsi="Cambria" w:cs="Cambria"/>
                <w:iCs/>
                <w:sz w:val="22"/>
                <w:szCs w:val="22"/>
                <w:lang w:val="id-ID"/>
              </w:rPr>
              <w:t xml:space="preserve">. The </w:t>
            </w:r>
            <w:proofErr w:type="spellStart"/>
            <w:r w:rsidRPr="00CC5505">
              <w:rPr>
                <w:rFonts w:ascii="Cambria" w:eastAsia="Cambria" w:hAnsi="Cambria" w:cs="Cambria"/>
                <w:iCs/>
                <w:sz w:val="22"/>
                <w:szCs w:val="22"/>
                <w:lang w:val="id-ID"/>
              </w:rPr>
              <w:t>findings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also</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emphasize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the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importance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of</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leadership</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training</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that</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focuses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on</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communication</w:t>
            </w:r>
            <w:proofErr w:type="spellEnd"/>
            <w:r w:rsidRPr="00CC5505">
              <w:rPr>
                <w:rFonts w:ascii="Cambria" w:eastAsia="Cambria" w:hAnsi="Cambria" w:cs="Cambria"/>
                <w:iCs/>
                <w:sz w:val="22"/>
                <w:szCs w:val="22"/>
                <w:lang w:val="id-ID"/>
              </w:rPr>
              <w:t>, problem-</w:t>
            </w:r>
            <w:proofErr w:type="spellStart"/>
            <w:r w:rsidRPr="00CC5505">
              <w:rPr>
                <w:rFonts w:ascii="Cambria" w:eastAsia="Cambria" w:hAnsi="Cambria" w:cs="Cambria"/>
                <w:iCs/>
                <w:sz w:val="22"/>
                <w:szCs w:val="22"/>
                <w:lang w:val="id-ID"/>
              </w:rPr>
              <w:t>solving</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and</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innovation</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skills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to</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achieve</w:t>
            </w:r>
            <w:proofErr w:type="spellEnd"/>
            <w:r w:rsidRPr="00CC5505">
              <w:rPr>
                <w:rFonts w:ascii="Cambria" w:eastAsia="Cambria" w:hAnsi="Cambria" w:cs="Cambria"/>
                <w:iCs/>
                <w:sz w:val="22"/>
                <w:szCs w:val="22"/>
                <w:lang w:val="id-ID"/>
              </w:rPr>
              <w:t xml:space="preserve"> ESD </w:t>
            </w:r>
            <w:proofErr w:type="spellStart"/>
            <w:r w:rsidRPr="00CC5505">
              <w:rPr>
                <w:rFonts w:ascii="Cambria" w:eastAsia="Cambria" w:hAnsi="Cambria" w:cs="Cambria"/>
                <w:iCs/>
                <w:sz w:val="22"/>
                <w:szCs w:val="22"/>
                <w:lang w:val="id-ID"/>
              </w:rPr>
              <w:t>goals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Therefore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the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effectiveness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of</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leadership</w:t>
            </w:r>
            <w:proofErr w:type="spellEnd"/>
            <w:r w:rsidRPr="00CC5505">
              <w:rPr>
                <w:rFonts w:ascii="Cambria" w:eastAsia="Cambria" w:hAnsi="Cambria" w:cs="Cambria"/>
                <w:iCs/>
                <w:sz w:val="22"/>
                <w:szCs w:val="22"/>
                <w:lang w:val="id-ID"/>
              </w:rPr>
              <w:t xml:space="preserve"> in ESD </w:t>
            </w:r>
            <w:proofErr w:type="spellStart"/>
            <w:r w:rsidRPr="00CC5505">
              <w:rPr>
                <w:rFonts w:ascii="Cambria" w:eastAsia="Cambria" w:hAnsi="Cambria" w:cs="Cambria"/>
                <w:iCs/>
                <w:sz w:val="22"/>
                <w:szCs w:val="22"/>
                <w:lang w:val="id-ID"/>
              </w:rPr>
              <w:t>depends</w:t>
            </w:r>
            <w:proofErr w:type="spellEnd"/>
            <w:r w:rsidRPr="00CC5505">
              <w:rPr>
                <w:rFonts w:ascii="Cambria" w:eastAsia="Cambria" w:hAnsi="Cambria" w:cs="Cambria"/>
                <w:iCs/>
                <w:sz w:val="22"/>
                <w:szCs w:val="22"/>
                <w:lang w:val="id-ID"/>
              </w:rPr>
              <w:t xml:space="preserve"> not </w:t>
            </w:r>
            <w:proofErr w:type="spellStart"/>
            <w:r w:rsidRPr="00CC5505">
              <w:rPr>
                <w:rFonts w:ascii="Cambria" w:eastAsia="Cambria" w:hAnsi="Cambria" w:cs="Cambria"/>
                <w:iCs/>
                <w:sz w:val="22"/>
                <w:szCs w:val="22"/>
                <w:lang w:val="id-ID"/>
              </w:rPr>
              <w:t>only</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on</w:t>
            </w:r>
            <w:proofErr w:type="spellEnd"/>
            <w:r w:rsidRPr="00CC5505">
              <w:rPr>
                <w:rFonts w:ascii="Cambria" w:eastAsia="Cambria" w:hAnsi="Cambria" w:cs="Cambria"/>
                <w:iCs/>
                <w:sz w:val="22"/>
                <w:szCs w:val="22"/>
                <w:lang w:val="id-ID"/>
              </w:rPr>
              <w:t xml:space="preserve"> formal </w:t>
            </w:r>
            <w:proofErr w:type="spellStart"/>
            <w:r w:rsidRPr="00CC5505">
              <w:rPr>
                <w:rFonts w:ascii="Cambria" w:eastAsia="Cambria" w:hAnsi="Cambria" w:cs="Cambria"/>
                <w:iCs/>
                <w:sz w:val="22"/>
                <w:szCs w:val="22"/>
                <w:lang w:val="id-ID"/>
              </w:rPr>
              <w:t>policies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but</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also</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on</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interpersonal</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skills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and</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consistent</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commitment</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to</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the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vision</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of</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sustainability</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These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findings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provide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practical</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insights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for</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policymakers</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and</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education</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practitioners</w:t>
            </w:r>
            <w:proofErr w:type="spellEnd"/>
            <w:r w:rsidRPr="00CC5505">
              <w:rPr>
                <w:rFonts w:ascii="Cambria" w:eastAsia="Cambria" w:hAnsi="Cambria" w:cs="Cambria"/>
                <w:iCs/>
                <w:sz w:val="22"/>
                <w:szCs w:val="22"/>
                <w:lang w:val="id-ID"/>
              </w:rPr>
              <w:t xml:space="preserve"> in </w:t>
            </w:r>
            <w:proofErr w:type="spellStart"/>
            <w:r w:rsidRPr="00CC5505">
              <w:rPr>
                <w:rFonts w:ascii="Cambria" w:eastAsia="Cambria" w:hAnsi="Cambria" w:cs="Cambria"/>
                <w:iCs/>
                <w:sz w:val="22"/>
                <w:szCs w:val="22"/>
                <w:lang w:val="id-ID"/>
              </w:rPr>
              <w:t>designing</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more</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impactful</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leadership</w:t>
            </w:r>
            <w:proofErr w:type="spellEnd"/>
            <w:r w:rsidRPr="00CC5505">
              <w:rPr>
                <w:rFonts w:ascii="Cambria" w:eastAsia="Cambria" w:hAnsi="Cambria" w:cs="Cambria"/>
                <w:iCs/>
                <w:sz w:val="22"/>
                <w:szCs w:val="22"/>
                <w:lang w:val="id-ID"/>
              </w:rPr>
              <w:t xml:space="preserve"> </w:t>
            </w:r>
            <w:proofErr w:type="spellStart"/>
            <w:r w:rsidRPr="00CC5505">
              <w:rPr>
                <w:rFonts w:ascii="Cambria" w:eastAsia="Cambria" w:hAnsi="Cambria" w:cs="Cambria"/>
                <w:iCs/>
                <w:sz w:val="22"/>
                <w:szCs w:val="22"/>
                <w:lang w:val="id-ID"/>
              </w:rPr>
              <w:t>programs</w:t>
            </w:r>
            <w:proofErr w:type="spellEnd"/>
            <w:r w:rsidRPr="00CC5505">
              <w:rPr>
                <w:rFonts w:ascii="Cambria" w:eastAsia="Cambria" w:hAnsi="Cambria" w:cs="Cambria"/>
                <w:iCs/>
                <w:sz w:val="22"/>
                <w:szCs w:val="22"/>
                <w:lang w:val="id-ID"/>
              </w:rPr>
              <w:t>.</w:t>
            </w:r>
          </w:p>
        </w:tc>
        <w:tc>
          <w:tcPr>
            <w:tcW w:w="2458" w:type="dxa"/>
            <w:shd w:val="clear" w:color="auto" w:fill="FFFFFF"/>
          </w:tcPr>
          <w:p w14:paraId="18A893F1" w14:textId="77777777" w:rsidR="00276F40" w:rsidRPr="00CC5505" w:rsidRDefault="003C70B3" w:rsidP="004661E2">
            <w:pPr>
              <w:pStyle w:val="Heading3"/>
              <w:shd w:val="clear" w:color="auto" w:fill="FFFFFF"/>
              <w:rPr>
                <w:color w:val="000000"/>
              </w:rPr>
            </w:pPr>
            <w:r w:rsidRPr="00CC5505">
              <w:rPr>
                <w:noProof/>
                <w:lang w:val="id-ID"/>
              </w:rPr>
              <w:drawing>
                <wp:anchor distT="0" distB="0" distL="114300" distR="114300" simplePos="0" relativeHeight="251658240" behindDoc="0" locked="0" layoutInCell="1" allowOverlap="1" wp14:anchorId="3C9012B0" wp14:editId="7E29AD12">
                  <wp:simplePos x="0" y="0"/>
                  <wp:positionH relativeFrom="column">
                    <wp:posOffset>15241</wp:posOffset>
                  </wp:positionH>
                  <wp:positionV relativeFrom="paragraph">
                    <wp:posOffset>0</wp:posOffset>
                  </wp:positionV>
                  <wp:extent cx="784860" cy="157849"/>
                  <wp:effectExtent l="0" t="0" r="0" b="0"/>
                  <wp:wrapTopAndBottom distT="0" distB="0"/>
                  <wp:docPr id="5" name="image4.png" descr="Sebuah gambar berisi teks&#10;&#10;Deskripsi dibuat secara otomatis"/>
                  <wp:cNvGraphicFramePr/>
                  <a:graphic xmlns:a="http://schemas.openxmlformats.org/drawingml/2006/main">
                    <a:graphicData uri="http://schemas.openxmlformats.org/drawingml/2006/picture">
                      <pic:pic xmlns:pic="http://schemas.openxmlformats.org/drawingml/2006/picture">
                        <pic:nvPicPr>
                          <pic:cNvPr id="0" name="image4.png" descr="Sebuah gambar berisi teks&#10;&#10;Deskripsi dibuat secara otomatis"/>
                          <pic:cNvPicPr preferRelativeResize="0"/>
                        </pic:nvPicPr>
                        <pic:blipFill>
                          <a:blip r:embed="rId8"/>
                          <a:srcRect/>
                          <a:stretch>
                            <a:fillRect/>
                          </a:stretch>
                        </pic:blipFill>
                        <pic:spPr>
                          <a:xfrm>
                            <a:off x="0" y="0"/>
                            <a:ext cx="784860" cy="157849"/>
                          </a:xfrm>
                          <a:prstGeom prst="rect">
                            <a:avLst/>
                          </a:prstGeom>
                          <a:ln/>
                        </pic:spPr>
                      </pic:pic>
                    </a:graphicData>
                  </a:graphic>
                </wp:anchor>
              </w:drawing>
            </w:r>
          </w:p>
          <w:p w14:paraId="16404B23" w14:textId="77777777" w:rsidR="00276F40" w:rsidRPr="00CC5505" w:rsidRDefault="003C70B3" w:rsidP="004661E2">
            <w:pPr>
              <w:pStyle w:val="Normal1"/>
              <w:rPr>
                <w:rFonts w:ascii="Cambria" w:eastAsia="Cambria" w:hAnsi="Cambria" w:cs="Cambria"/>
                <w:color w:val="366091"/>
                <w:sz w:val="22"/>
                <w:szCs w:val="22"/>
              </w:rPr>
            </w:pPr>
            <w:r w:rsidRPr="00CC5505">
              <w:rPr>
                <w:rFonts w:ascii="Cambria" w:eastAsia="Cambria" w:hAnsi="Cambria" w:cs="Cambria"/>
                <w:color w:val="366091"/>
                <w:sz w:val="22"/>
                <w:szCs w:val="22"/>
              </w:rPr>
              <w:t>ARTICLE HISTORY</w:t>
            </w:r>
          </w:p>
          <w:p w14:paraId="3B8F353D" w14:textId="1526D555" w:rsidR="00276F40" w:rsidRPr="00CC5505" w:rsidRDefault="003C70B3" w:rsidP="004661E2">
            <w:pPr>
              <w:pStyle w:val="Normal1"/>
              <w:pBdr>
                <w:top w:val="nil"/>
                <w:left w:val="nil"/>
                <w:bottom w:val="nil"/>
                <w:right w:val="nil"/>
                <w:between w:val="nil"/>
              </w:pBdr>
              <w:rPr>
                <w:rFonts w:ascii="Cambria" w:eastAsia="Cambria" w:hAnsi="Cambria" w:cs="Cambria"/>
                <w:color w:val="000000"/>
                <w:sz w:val="22"/>
                <w:szCs w:val="22"/>
              </w:rPr>
            </w:pPr>
            <w:r w:rsidRPr="00CC5505">
              <w:rPr>
                <w:rFonts w:ascii="Cambria" w:eastAsia="Cambria" w:hAnsi="Cambria" w:cs="Cambria"/>
                <w:color w:val="000000"/>
                <w:sz w:val="22"/>
                <w:szCs w:val="22"/>
              </w:rPr>
              <w:t>Received:</w:t>
            </w:r>
            <w:r w:rsidR="007464CD" w:rsidRPr="00CC5505">
              <w:rPr>
                <w:rFonts w:ascii="Cambria" w:eastAsia="Cambria" w:hAnsi="Cambria" w:cs="Cambria"/>
                <w:color w:val="000000"/>
                <w:sz w:val="22"/>
                <w:szCs w:val="22"/>
              </w:rPr>
              <w:t>14</w:t>
            </w:r>
            <w:r w:rsidRPr="00CC5505">
              <w:rPr>
                <w:rFonts w:ascii="Cambria" w:eastAsia="Cambria" w:hAnsi="Cambria" w:cs="Cambria"/>
                <w:color w:val="000000"/>
                <w:sz w:val="22"/>
                <w:szCs w:val="22"/>
              </w:rPr>
              <w:t>-0</w:t>
            </w:r>
            <w:r w:rsidR="007464CD" w:rsidRPr="00CC5505">
              <w:rPr>
                <w:rFonts w:ascii="Cambria" w:eastAsia="Cambria" w:hAnsi="Cambria" w:cs="Cambria"/>
                <w:color w:val="000000"/>
                <w:sz w:val="22"/>
                <w:szCs w:val="22"/>
              </w:rPr>
              <w:t>8</w:t>
            </w:r>
            <w:r w:rsidRPr="00CC5505">
              <w:rPr>
                <w:rFonts w:ascii="Cambria" w:eastAsia="Cambria" w:hAnsi="Cambria" w:cs="Cambria"/>
                <w:color w:val="000000"/>
                <w:sz w:val="22"/>
                <w:szCs w:val="22"/>
              </w:rPr>
              <w:t>-202</w:t>
            </w:r>
            <w:r w:rsidR="00C7400F" w:rsidRPr="00CC5505">
              <w:rPr>
                <w:rFonts w:ascii="Cambria" w:eastAsia="Cambria" w:hAnsi="Cambria" w:cs="Cambria"/>
                <w:color w:val="000000"/>
                <w:sz w:val="22"/>
                <w:szCs w:val="22"/>
              </w:rPr>
              <w:t>4</w:t>
            </w:r>
          </w:p>
          <w:p w14:paraId="7FFA2F7C" w14:textId="6E99207E" w:rsidR="00276F40" w:rsidRPr="00CC5505" w:rsidRDefault="003C70B3" w:rsidP="004661E2">
            <w:pPr>
              <w:pStyle w:val="Normal1"/>
              <w:rPr>
                <w:rFonts w:ascii="Cambria" w:eastAsia="Cambria" w:hAnsi="Cambria" w:cs="Cambria"/>
                <w:b/>
                <w:sz w:val="22"/>
                <w:szCs w:val="22"/>
              </w:rPr>
            </w:pPr>
            <w:r w:rsidRPr="00CC5505">
              <w:rPr>
                <w:rFonts w:ascii="Cambria" w:eastAsia="Cambria" w:hAnsi="Cambria" w:cs="Cambria"/>
                <w:sz w:val="22"/>
                <w:szCs w:val="22"/>
              </w:rPr>
              <w:t xml:space="preserve">Accepted: </w:t>
            </w:r>
            <w:r w:rsidR="007464CD" w:rsidRPr="00CC5505">
              <w:rPr>
                <w:rFonts w:ascii="Cambria" w:eastAsia="Cambria" w:hAnsi="Cambria" w:cs="Cambria"/>
                <w:sz w:val="22"/>
                <w:szCs w:val="22"/>
              </w:rPr>
              <w:t>24</w:t>
            </w:r>
            <w:r w:rsidRPr="00CC5505">
              <w:rPr>
                <w:rFonts w:ascii="Cambria" w:eastAsia="Cambria" w:hAnsi="Cambria" w:cs="Cambria"/>
                <w:sz w:val="22"/>
                <w:szCs w:val="22"/>
              </w:rPr>
              <w:t>-</w:t>
            </w:r>
            <w:r w:rsidR="00C84B56" w:rsidRPr="00CC5505">
              <w:rPr>
                <w:rFonts w:ascii="Cambria" w:eastAsia="Cambria" w:hAnsi="Cambria" w:cs="Cambria"/>
                <w:sz w:val="22"/>
                <w:szCs w:val="22"/>
              </w:rPr>
              <w:t>12</w:t>
            </w:r>
            <w:r w:rsidRPr="00CC5505">
              <w:rPr>
                <w:rFonts w:ascii="Cambria" w:eastAsia="Cambria" w:hAnsi="Cambria" w:cs="Cambria"/>
                <w:sz w:val="22"/>
                <w:szCs w:val="22"/>
              </w:rPr>
              <w:t>-202</w:t>
            </w:r>
            <w:r w:rsidR="00C7400F" w:rsidRPr="00CC5505">
              <w:rPr>
                <w:rFonts w:ascii="Cambria" w:eastAsia="Cambria" w:hAnsi="Cambria" w:cs="Cambria"/>
                <w:sz w:val="22"/>
                <w:szCs w:val="22"/>
              </w:rPr>
              <w:t>4</w:t>
            </w:r>
          </w:p>
          <w:p w14:paraId="3BFCAF71" w14:textId="77777777" w:rsidR="00276F40" w:rsidRPr="00CC5505" w:rsidRDefault="00276F40" w:rsidP="004661E2">
            <w:pPr>
              <w:pStyle w:val="Normal1"/>
              <w:pBdr>
                <w:top w:val="nil"/>
                <w:left w:val="nil"/>
                <w:bottom w:val="nil"/>
                <w:right w:val="nil"/>
                <w:between w:val="nil"/>
              </w:pBdr>
              <w:rPr>
                <w:rFonts w:ascii="Cambria" w:eastAsia="Cambria" w:hAnsi="Cambria" w:cs="Cambria"/>
                <w:color w:val="000000"/>
                <w:sz w:val="22"/>
                <w:szCs w:val="22"/>
              </w:rPr>
            </w:pPr>
          </w:p>
          <w:p w14:paraId="67E36494" w14:textId="77777777" w:rsidR="00276F40" w:rsidRPr="00CC5505" w:rsidRDefault="00276F40" w:rsidP="004661E2">
            <w:pPr>
              <w:pStyle w:val="Normal1"/>
              <w:pBdr>
                <w:top w:val="nil"/>
                <w:left w:val="nil"/>
                <w:bottom w:val="nil"/>
                <w:right w:val="nil"/>
                <w:between w:val="nil"/>
              </w:pBdr>
              <w:rPr>
                <w:rFonts w:ascii="Cambria" w:eastAsia="Cambria" w:hAnsi="Cambria" w:cs="Cambria"/>
                <w:color w:val="000000"/>
                <w:sz w:val="22"/>
                <w:szCs w:val="22"/>
              </w:rPr>
            </w:pPr>
          </w:p>
          <w:p w14:paraId="19967C80" w14:textId="77777777" w:rsidR="00276F40" w:rsidRPr="00CC5505" w:rsidRDefault="003C70B3" w:rsidP="004661E2">
            <w:pPr>
              <w:pStyle w:val="Normal1"/>
              <w:rPr>
                <w:rFonts w:ascii="Cambria" w:eastAsia="Cambria" w:hAnsi="Cambria" w:cs="Cambria"/>
                <w:color w:val="366091"/>
                <w:sz w:val="22"/>
                <w:szCs w:val="22"/>
              </w:rPr>
            </w:pPr>
            <w:r w:rsidRPr="00CC5505">
              <w:rPr>
                <w:rFonts w:ascii="Cambria" w:eastAsia="Cambria" w:hAnsi="Cambria" w:cs="Cambria"/>
                <w:color w:val="366091"/>
                <w:sz w:val="22"/>
                <w:szCs w:val="22"/>
              </w:rPr>
              <w:t>KEYWORDS</w:t>
            </w:r>
          </w:p>
          <w:p w14:paraId="20E4CB3B" w14:textId="3D61CBC9" w:rsidR="00585B9E" w:rsidRPr="00CC5505" w:rsidRDefault="005B1EAF" w:rsidP="004661E2">
            <w:pPr>
              <w:pStyle w:val="Normal1"/>
              <w:pBdr>
                <w:top w:val="nil"/>
                <w:left w:val="nil"/>
                <w:bottom w:val="nil"/>
                <w:right w:val="nil"/>
                <w:between w:val="nil"/>
              </w:pBdr>
              <w:rPr>
                <w:rFonts w:ascii="Cambria" w:eastAsia="Cambria" w:hAnsi="Cambria" w:cs="Cambria"/>
                <w:color w:val="000000"/>
                <w:sz w:val="22"/>
                <w:szCs w:val="22"/>
              </w:rPr>
            </w:pPr>
            <w:r w:rsidRPr="00CC5505">
              <w:rPr>
                <w:rFonts w:ascii="Cambria" w:hAnsi="Cambria"/>
                <w:i/>
                <w:iCs/>
                <w:sz w:val="22"/>
                <w:szCs w:val="22"/>
                <w:lang w:val="en-US"/>
              </w:rPr>
              <w:t>Education, Leadership Effectiveness, Sustainable Development.</w:t>
            </w:r>
          </w:p>
          <w:p w14:paraId="5A73B99D" w14:textId="77777777" w:rsidR="00585B9E" w:rsidRPr="00CC5505" w:rsidRDefault="00585B9E" w:rsidP="004661E2">
            <w:pPr>
              <w:pStyle w:val="Normal1"/>
              <w:pBdr>
                <w:top w:val="nil"/>
                <w:left w:val="nil"/>
                <w:bottom w:val="nil"/>
                <w:right w:val="nil"/>
                <w:between w:val="nil"/>
              </w:pBdr>
              <w:rPr>
                <w:rFonts w:ascii="Cambria" w:eastAsia="Cambria" w:hAnsi="Cambria" w:cs="Cambria"/>
                <w:color w:val="000000"/>
                <w:sz w:val="22"/>
                <w:szCs w:val="22"/>
              </w:rPr>
            </w:pPr>
          </w:p>
          <w:p w14:paraId="03598E6E" w14:textId="77777777" w:rsidR="005B1EAF" w:rsidRPr="00CC5505" w:rsidRDefault="005B1EAF" w:rsidP="004661E2">
            <w:pPr>
              <w:pStyle w:val="Normal1"/>
              <w:pBdr>
                <w:top w:val="nil"/>
                <w:left w:val="nil"/>
                <w:bottom w:val="nil"/>
                <w:right w:val="nil"/>
                <w:between w:val="nil"/>
              </w:pBdr>
              <w:rPr>
                <w:rFonts w:ascii="Cambria" w:eastAsia="Cambria" w:hAnsi="Cambria" w:cs="Cambria"/>
                <w:color w:val="000000"/>
                <w:sz w:val="22"/>
                <w:szCs w:val="22"/>
              </w:rPr>
            </w:pPr>
          </w:p>
          <w:p w14:paraId="3BC6A7EC" w14:textId="77777777" w:rsidR="00276F40" w:rsidRPr="00CC5505" w:rsidRDefault="00276F40" w:rsidP="004661E2">
            <w:pPr>
              <w:pStyle w:val="Normal1"/>
              <w:pBdr>
                <w:top w:val="nil"/>
                <w:left w:val="nil"/>
                <w:bottom w:val="nil"/>
                <w:right w:val="nil"/>
                <w:between w:val="nil"/>
              </w:pBdr>
              <w:rPr>
                <w:rFonts w:ascii="Cambria" w:eastAsia="Cambria" w:hAnsi="Cambria" w:cs="Cambria"/>
                <w:color w:val="000000"/>
                <w:sz w:val="22"/>
                <w:szCs w:val="22"/>
              </w:rPr>
            </w:pPr>
          </w:p>
          <w:p w14:paraId="4F24D35D" w14:textId="7A22F8F4" w:rsidR="00276F40" w:rsidRPr="00CC5505" w:rsidRDefault="003C70B3" w:rsidP="004661E2">
            <w:pPr>
              <w:pStyle w:val="Normal1"/>
              <w:pBdr>
                <w:top w:val="nil"/>
                <w:left w:val="nil"/>
                <w:bottom w:val="nil"/>
                <w:right w:val="nil"/>
                <w:between w:val="nil"/>
              </w:pBdr>
              <w:rPr>
                <w:rFonts w:ascii="Cambria" w:eastAsia="Cambria" w:hAnsi="Cambria" w:cs="Cambria"/>
                <w:sz w:val="16"/>
                <w:szCs w:val="16"/>
              </w:rPr>
            </w:pPr>
            <w:r w:rsidRPr="00CC5505">
              <w:rPr>
                <w:rFonts w:ascii="Cambria" w:eastAsia="Cambria" w:hAnsi="Cambria" w:cs="Cambria"/>
                <w:sz w:val="16"/>
                <w:szCs w:val="16"/>
              </w:rPr>
              <w:t>© 202</w:t>
            </w:r>
            <w:r w:rsidR="00585B9E" w:rsidRPr="00CC5505">
              <w:rPr>
                <w:rFonts w:ascii="Cambria" w:eastAsia="Cambria" w:hAnsi="Cambria" w:cs="Cambria"/>
                <w:sz w:val="16"/>
                <w:szCs w:val="16"/>
              </w:rPr>
              <w:t>4</w:t>
            </w:r>
            <w:r w:rsidRPr="00CC5505">
              <w:rPr>
                <w:rFonts w:ascii="Cambria" w:eastAsia="Cambria" w:hAnsi="Cambria" w:cs="Cambria"/>
                <w:sz w:val="16"/>
                <w:szCs w:val="16"/>
              </w:rPr>
              <w:t xml:space="preserve"> </w:t>
            </w:r>
            <w:r w:rsidR="005C2E0F">
              <w:rPr>
                <w:rFonts w:ascii="Cambria" w:eastAsia="Cambria" w:hAnsi="Cambria" w:cs="Cambria"/>
                <w:sz w:val="16"/>
                <w:szCs w:val="16"/>
              </w:rPr>
              <w:t>Development</w:t>
            </w:r>
          </w:p>
          <w:p w14:paraId="52CD6D54" w14:textId="77777777" w:rsidR="00276F40" w:rsidRPr="00CC5505" w:rsidRDefault="003C70B3" w:rsidP="004661E2">
            <w:pPr>
              <w:pStyle w:val="Normal1"/>
              <w:pBdr>
                <w:top w:val="nil"/>
                <w:left w:val="nil"/>
                <w:bottom w:val="nil"/>
                <w:right w:val="nil"/>
                <w:between w:val="nil"/>
              </w:pBdr>
              <w:rPr>
                <w:rFonts w:ascii="Cambria" w:eastAsia="Cambria" w:hAnsi="Cambria" w:cs="Cambria"/>
                <w:color w:val="000000"/>
                <w:sz w:val="16"/>
                <w:szCs w:val="16"/>
              </w:rPr>
            </w:pPr>
            <w:r w:rsidRPr="00CC5505">
              <w:rPr>
                <w:rFonts w:ascii="Cambria" w:eastAsia="Cambria" w:hAnsi="Cambria" w:cs="Cambria"/>
                <w:color w:val="000000"/>
                <w:sz w:val="16"/>
                <w:szCs w:val="16"/>
              </w:rPr>
              <w:t xml:space="preserve">This is an </w:t>
            </w:r>
            <w:proofErr w:type="gramStart"/>
            <w:r w:rsidRPr="00CC5505">
              <w:rPr>
                <w:rFonts w:ascii="Cambria" w:eastAsia="Cambria" w:hAnsi="Cambria" w:cs="Cambria"/>
                <w:color w:val="000000"/>
                <w:sz w:val="16"/>
                <w:szCs w:val="16"/>
              </w:rPr>
              <w:t>open-access</w:t>
            </w:r>
            <w:proofErr w:type="gramEnd"/>
            <w:r w:rsidRPr="00CC5505">
              <w:rPr>
                <w:rFonts w:ascii="Cambria" w:eastAsia="Cambria" w:hAnsi="Cambria" w:cs="Cambria"/>
                <w:color w:val="000000"/>
                <w:sz w:val="16"/>
                <w:szCs w:val="16"/>
              </w:rPr>
              <w:t xml:space="preserve"> article </w:t>
            </w:r>
          </w:p>
          <w:p w14:paraId="2DE8017D" w14:textId="77777777" w:rsidR="00276F40" w:rsidRPr="00CC5505" w:rsidRDefault="003C70B3" w:rsidP="004661E2">
            <w:pPr>
              <w:pStyle w:val="Normal1"/>
              <w:pBdr>
                <w:top w:val="nil"/>
                <w:left w:val="nil"/>
                <w:bottom w:val="nil"/>
                <w:right w:val="nil"/>
                <w:between w:val="nil"/>
              </w:pBdr>
              <w:rPr>
                <w:rFonts w:ascii="Cambria" w:eastAsia="Cambria" w:hAnsi="Cambria" w:cs="Cambria"/>
                <w:color w:val="000000"/>
                <w:sz w:val="16"/>
                <w:szCs w:val="16"/>
              </w:rPr>
            </w:pPr>
            <w:r w:rsidRPr="00CC5505">
              <w:rPr>
                <w:rFonts w:ascii="Cambria" w:eastAsia="Cambria" w:hAnsi="Cambria" w:cs="Cambria"/>
                <w:color w:val="000000"/>
                <w:sz w:val="16"/>
                <w:szCs w:val="16"/>
              </w:rPr>
              <w:t xml:space="preserve">under the </w:t>
            </w:r>
            <w:hyperlink r:id="rId9">
              <w:r w:rsidRPr="00CC5505">
                <w:rPr>
                  <w:rFonts w:ascii="Cambria" w:eastAsia="Cambria" w:hAnsi="Cambria" w:cs="Cambria"/>
                  <w:color w:val="0563C1"/>
                  <w:sz w:val="16"/>
                  <w:szCs w:val="16"/>
                </w:rPr>
                <w:t>CC-BY-SA License</w:t>
              </w:r>
            </w:hyperlink>
            <w:hyperlink r:id="rId10">
              <w:r w:rsidRPr="00CC5505">
                <w:rPr>
                  <w:rFonts w:ascii="Cambria" w:eastAsia="Cambria" w:hAnsi="Cambria" w:cs="Cambria"/>
                  <w:color w:val="000000"/>
                  <w:sz w:val="16"/>
                  <w:szCs w:val="16"/>
                </w:rPr>
                <w:t>.</w:t>
              </w:r>
            </w:hyperlink>
          </w:p>
          <w:p w14:paraId="388DE74F" w14:textId="77777777" w:rsidR="00276F40" w:rsidRPr="00CC5505" w:rsidRDefault="00276F40" w:rsidP="004661E2">
            <w:pPr>
              <w:pStyle w:val="Normal1"/>
              <w:pBdr>
                <w:top w:val="nil"/>
                <w:left w:val="nil"/>
                <w:bottom w:val="nil"/>
                <w:right w:val="nil"/>
                <w:between w:val="nil"/>
              </w:pBdr>
              <w:rPr>
                <w:rFonts w:ascii="Cambria" w:eastAsia="Cambria" w:hAnsi="Cambria" w:cs="Cambria"/>
                <w:color w:val="000000"/>
              </w:rPr>
            </w:pPr>
          </w:p>
          <w:p w14:paraId="36EFA5CE" w14:textId="77777777" w:rsidR="00276F40" w:rsidRPr="00CC5505" w:rsidRDefault="003C70B3" w:rsidP="004661E2">
            <w:pPr>
              <w:pStyle w:val="Normal1"/>
              <w:pBdr>
                <w:top w:val="nil"/>
                <w:left w:val="nil"/>
                <w:bottom w:val="nil"/>
                <w:right w:val="nil"/>
                <w:between w:val="nil"/>
              </w:pBdr>
              <w:rPr>
                <w:rFonts w:ascii="Cambria" w:eastAsia="Cambria" w:hAnsi="Cambria" w:cs="Cambria"/>
                <w:color w:val="000000"/>
                <w:sz w:val="20"/>
                <w:szCs w:val="20"/>
              </w:rPr>
            </w:pPr>
            <w:r w:rsidRPr="00CC5505">
              <w:rPr>
                <w:noProof/>
                <w:color w:val="000000"/>
                <w:lang w:val="id-ID"/>
              </w:rPr>
              <w:drawing>
                <wp:inline distT="0" distB="0" distL="0" distR="0" wp14:anchorId="1FE18227" wp14:editId="294ADA53">
                  <wp:extent cx="636753" cy="236932"/>
                  <wp:effectExtent l="0" t="0" r="0" b="0"/>
                  <wp:docPr id="7" name="image2.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2.png" descr="C:\Users\IKIP\Pictures\CC_BY-SA_3.0.png"/>
                          <pic:cNvPicPr preferRelativeResize="0"/>
                        </pic:nvPicPr>
                        <pic:blipFill>
                          <a:blip r:embed="rId11"/>
                          <a:srcRect/>
                          <a:stretch>
                            <a:fillRect/>
                          </a:stretch>
                        </pic:blipFill>
                        <pic:spPr>
                          <a:xfrm>
                            <a:off x="0" y="0"/>
                            <a:ext cx="636753" cy="236932"/>
                          </a:xfrm>
                          <a:prstGeom prst="rect">
                            <a:avLst/>
                          </a:prstGeom>
                          <a:ln/>
                        </pic:spPr>
                      </pic:pic>
                    </a:graphicData>
                  </a:graphic>
                </wp:inline>
              </w:drawing>
            </w:r>
          </w:p>
          <w:p w14:paraId="22B89D17" w14:textId="77777777" w:rsidR="00276F40" w:rsidRPr="00CC5505" w:rsidRDefault="00276F40" w:rsidP="004661E2">
            <w:pPr>
              <w:pStyle w:val="Normal1"/>
              <w:pBdr>
                <w:top w:val="nil"/>
                <w:left w:val="nil"/>
                <w:bottom w:val="nil"/>
                <w:right w:val="nil"/>
                <w:between w:val="nil"/>
              </w:pBdr>
              <w:rPr>
                <w:rFonts w:ascii="Cambria" w:eastAsia="Cambria" w:hAnsi="Cambria" w:cs="Cambria"/>
                <w:color w:val="000000"/>
              </w:rPr>
            </w:pPr>
          </w:p>
        </w:tc>
      </w:tr>
    </w:tbl>
    <w:p w14:paraId="08F40114" w14:textId="77777777" w:rsidR="00276F40" w:rsidRPr="00CC5505" w:rsidRDefault="00276F40" w:rsidP="004661E2">
      <w:pPr>
        <w:pStyle w:val="Title"/>
        <w:spacing w:line="240" w:lineRule="auto"/>
        <w:jc w:val="left"/>
        <w:rPr>
          <w:rFonts w:ascii="Book Antiqua" w:eastAsia="Book Antiqua" w:hAnsi="Book Antiqua" w:cs="Book Antiqua"/>
          <w:b w:val="0"/>
        </w:rPr>
      </w:pPr>
    </w:p>
    <w:tbl>
      <w:tblPr>
        <w:tblW w:w="9356" w:type="dxa"/>
        <w:jc w:val="center"/>
        <w:tblLayout w:type="fixed"/>
        <w:tblLook w:val="0400" w:firstRow="0" w:lastRow="0" w:firstColumn="0" w:lastColumn="0" w:noHBand="0" w:noVBand="1"/>
      </w:tblPr>
      <w:tblGrid>
        <w:gridCol w:w="9356"/>
      </w:tblGrid>
      <w:tr w:rsidR="00907FAF" w:rsidRPr="00283D76" w14:paraId="2C80BE66" w14:textId="77777777" w:rsidTr="00AC360D">
        <w:trPr>
          <w:jc w:val="center"/>
        </w:trPr>
        <w:tc>
          <w:tcPr>
            <w:tcW w:w="9356" w:type="dxa"/>
            <w:vAlign w:val="center"/>
          </w:tcPr>
          <w:p w14:paraId="20FD3256" w14:textId="192F99AD" w:rsidR="00907FAF" w:rsidRPr="00907FAF" w:rsidRDefault="00907FAF" w:rsidP="00907FAF">
            <w:pPr>
              <w:spacing w:after="120"/>
              <w:rPr>
                <w:rFonts w:ascii="Calibri" w:eastAsia="Times" w:hAnsi="Calibri" w:cs="Calibri"/>
                <w:sz w:val="20"/>
                <w:szCs w:val="20"/>
                <w:lang w:val="id-ID"/>
              </w:rPr>
            </w:pPr>
            <w:r w:rsidRPr="00907FAF">
              <w:rPr>
                <w:rFonts w:ascii="Calibri" w:eastAsia="Calibri" w:hAnsi="Calibri" w:cs="Calibri"/>
                <w:b/>
                <w:noProof/>
                <w:sz w:val="20"/>
                <w:szCs w:val="20"/>
                <w:lang w:val="id-ID"/>
              </w:rPr>
              <w:drawing>
                <wp:anchor distT="0" distB="0" distL="114300" distR="114300" simplePos="0" relativeHeight="251660288" behindDoc="0" locked="0" layoutInCell="1" allowOverlap="1" wp14:anchorId="62151F87" wp14:editId="31DCEF46">
                  <wp:simplePos x="0" y="0"/>
                  <wp:positionH relativeFrom="column">
                    <wp:posOffset>10795</wp:posOffset>
                  </wp:positionH>
                  <wp:positionV relativeFrom="paragraph">
                    <wp:posOffset>8890</wp:posOffset>
                  </wp:positionV>
                  <wp:extent cx="190500" cy="190500"/>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ln/>
                        </pic:spPr>
                      </pic:pic>
                    </a:graphicData>
                  </a:graphic>
                  <wp14:sizeRelH relativeFrom="page">
                    <wp14:pctWidth>0</wp14:pctWidth>
                  </wp14:sizeRelH>
                  <wp14:sizeRelV relativeFrom="page">
                    <wp14:pctHeight>0</wp14:pctHeight>
                  </wp14:sizeRelV>
                </wp:anchor>
              </w:drawing>
            </w:r>
            <w:r w:rsidRPr="00907FAF">
              <w:rPr>
                <w:rFonts w:ascii="Calibri" w:eastAsia="Calibri" w:hAnsi="Calibri" w:cs="Calibri"/>
                <w:b/>
                <w:sz w:val="20"/>
                <w:szCs w:val="20"/>
                <w:lang w:val="id-ID"/>
              </w:rPr>
              <w:t xml:space="preserve">        </w:t>
            </w:r>
            <w:r w:rsidRPr="00907FAF">
              <w:rPr>
                <w:rFonts w:ascii="Calibri" w:eastAsia="Calibri" w:hAnsi="Calibri" w:cs="Calibri"/>
                <w:sz w:val="20"/>
                <w:szCs w:val="20"/>
                <w:lang w:val="id-ID"/>
              </w:rPr>
              <w:t>:</w:t>
            </w:r>
            <w:r w:rsidRPr="00907FAF">
              <w:rPr>
                <w:rFonts w:ascii="Calibri" w:eastAsia="Calibri" w:hAnsi="Calibri" w:cs="Calibri"/>
                <w:b/>
                <w:sz w:val="20"/>
                <w:szCs w:val="20"/>
                <w:lang w:val="id-ID"/>
              </w:rPr>
              <w:t xml:space="preserve"> </w:t>
            </w:r>
            <w:hyperlink r:id="rId13" w:history="1">
              <w:r w:rsidRPr="00907FAF">
                <w:rPr>
                  <w:rStyle w:val="Hyperlink"/>
                  <w:rFonts w:ascii="Calibri" w:eastAsia="Times" w:hAnsi="Calibri" w:cs="Calibri"/>
                  <w:sz w:val="20"/>
                  <w:szCs w:val="20"/>
                  <w:u w:val="none"/>
                  <w:lang w:val="id-ID"/>
                </w:rPr>
                <w:t>https://doi.org/10.47766/development.v</w:t>
              </w:r>
              <w:r w:rsidRPr="00907FAF">
                <w:rPr>
                  <w:rStyle w:val="Hyperlink"/>
                  <w:rFonts w:ascii="Calibri" w:eastAsia="Times" w:hAnsi="Calibri" w:cs="Calibri"/>
                  <w:sz w:val="20"/>
                  <w:szCs w:val="20"/>
                  <w:u w:val="none"/>
                  <w:lang w:val="en-US"/>
                </w:rPr>
                <w:t>3</w:t>
              </w:r>
              <w:r w:rsidRPr="00907FAF">
                <w:rPr>
                  <w:rStyle w:val="Hyperlink"/>
                  <w:rFonts w:ascii="Calibri" w:eastAsia="Times" w:hAnsi="Calibri" w:cs="Calibri"/>
                  <w:sz w:val="20"/>
                  <w:szCs w:val="20"/>
                  <w:u w:val="none"/>
                  <w:lang w:val="id-ID"/>
                </w:rPr>
                <w:t>i</w:t>
              </w:r>
              <w:r w:rsidRPr="00907FAF">
                <w:rPr>
                  <w:rStyle w:val="Hyperlink"/>
                  <w:rFonts w:ascii="Calibri" w:eastAsia="Times" w:hAnsi="Calibri" w:cs="Calibri"/>
                  <w:sz w:val="20"/>
                  <w:szCs w:val="20"/>
                  <w:u w:val="none"/>
                  <w:lang w:val="en-US"/>
                </w:rPr>
                <w:t>2</w:t>
              </w:r>
              <w:r w:rsidRPr="00907FAF">
                <w:rPr>
                  <w:rStyle w:val="Hyperlink"/>
                  <w:rFonts w:ascii="Calibri" w:eastAsia="Times" w:hAnsi="Calibri" w:cs="Calibri"/>
                  <w:sz w:val="20"/>
                  <w:szCs w:val="20"/>
                  <w:u w:val="none"/>
                  <w:lang w:val="id-ID"/>
                </w:rPr>
                <w:t>.</w:t>
              </w:r>
              <w:r w:rsidRPr="00907FAF">
                <w:rPr>
                  <w:rStyle w:val="Hyperlink"/>
                  <w:rFonts w:ascii="Calibri" w:eastAsia="Times" w:hAnsi="Calibri" w:cs="Calibri"/>
                  <w:sz w:val="20"/>
                  <w:szCs w:val="20"/>
                  <w:u w:val="none"/>
                  <w:lang w:val="en-US"/>
                </w:rPr>
                <w:t>4845</w:t>
              </w:r>
            </w:hyperlink>
            <w:r w:rsidRPr="00907FAF">
              <w:rPr>
                <w:rFonts w:ascii="Calibri" w:eastAsia="Times" w:hAnsi="Calibri" w:cs="Calibri"/>
                <w:sz w:val="20"/>
                <w:szCs w:val="20"/>
                <w:lang w:val="en-US"/>
              </w:rPr>
              <w:t xml:space="preserve"> </w:t>
            </w:r>
            <w:r w:rsidRPr="00907FAF">
              <w:rPr>
                <w:rFonts w:ascii="Calibri" w:eastAsia="Times" w:hAnsi="Calibri" w:cs="Calibri"/>
                <w:sz w:val="20"/>
                <w:szCs w:val="20"/>
                <w:lang w:val="id-ID"/>
              </w:rPr>
              <w:t xml:space="preserve"> </w:t>
            </w:r>
          </w:p>
        </w:tc>
      </w:tr>
    </w:tbl>
    <w:p w14:paraId="4B5838EF" w14:textId="3233E63E" w:rsidR="00893684" w:rsidRDefault="00893684" w:rsidP="00893684">
      <w:pPr>
        <w:pStyle w:val="p1"/>
      </w:pPr>
      <w:r>
        <w:t xml:space="preserve">Corresponding Author: </w:t>
      </w:r>
      <w:r>
        <w:rPr>
          <w:rStyle w:val="s1"/>
        </w:rPr>
        <w:t>*</w:t>
      </w:r>
      <w:r>
        <w:t xml:space="preserve"> </w:t>
      </w:r>
      <w:r w:rsidR="005C2E0F">
        <w:t xml:space="preserve">Muhammad Yusup </w:t>
      </w:r>
      <w:r>
        <w:t xml:space="preserve"> |</w:t>
      </w:r>
      <w:r>
        <w:rPr>
          <w:rStyle w:val="s1"/>
        </w:rPr>
        <w:t>*</w:t>
      </w:r>
      <w:r>
        <w:t xml:space="preserve"> </w:t>
      </w:r>
      <w:r w:rsidR="005C2E0F" w:rsidRPr="005C2E0F">
        <w:rPr>
          <w:rStyle w:val="s2"/>
        </w:rPr>
        <w:t>muhyusup@gmail.com</w:t>
      </w:r>
    </w:p>
    <w:p w14:paraId="34128368" w14:textId="77777777" w:rsidR="00893684" w:rsidRPr="00893684" w:rsidRDefault="00893684" w:rsidP="00E41129">
      <w:pPr>
        <w:pStyle w:val="Heading1"/>
        <w:spacing w:line="276" w:lineRule="auto"/>
        <w:jc w:val="both"/>
        <w:rPr>
          <w:rFonts w:ascii="Book Antiqua" w:eastAsia="Book Antiqua" w:hAnsi="Book Antiqua" w:cs="Book Antiqua"/>
          <w:sz w:val="26"/>
          <w:szCs w:val="26"/>
          <w:lang w:val="en-ID"/>
        </w:rPr>
      </w:pPr>
    </w:p>
    <w:p w14:paraId="488E36BB" w14:textId="209CA27E" w:rsidR="00585B9E" w:rsidRPr="00CC5505" w:rsidRDefault="00F87E86" w:rsidP="00E41129">
      <w:pPr>
        <w:pStyle w:val="Heading1"/>
        <w:spacing w:line="276" w:lineRule="auto"/>
        <w:jc w:val="both"/>
        <w:rPr>
          <w:rFonts w:ascii="Book Antiqua" w:eastAsia="Book Antiqua" w:hAnsi="Book Antiqua" w:cs="Book Antiqua"/>
          <w:sz w:val="26"/>
          <w:szCs w:val="26"/>
          <w:lang w:val="id-ID"/>
        </w:rPr>
      </w:pPr>
      <w:r w:rsidRPr="00CC5505">
        <w:rPr>
          <w:rFonts w:ascii="Book Antiqua" w:eastAsia="Book Antiqua" w:hAnsi="Book Antiqua" w:cs="Book Antiqua"/>
          <w:sz w:val="26"/>
          <w:szCs w:val="26"/>
        </w:rPr>
        <w:t>INTRODUCTION</w:t>
      </w:r>
    </w:p>
    <w:p w14:paraId="2A65B843" w14:textId="57ECC8EC" w:rsidR="00C7400F" w:rsidRPr="00CC5505" w:rsidRDefault="00C7400F" w:rsidP="00E41129">
      <w:pPr>
        <w:spacing w:line="276" w:lineRule="auto"/>
        <w:ind w:firstLine="567"/>
        <w:jc w:val="both"/>
        <w:rPr>
          <w:rFonts w:ascii="Book Antiqua" w:hAnsi="Book Antiqua"/>
          <w:sz w:val="26"/>
          <w:szCs w:val="26"/>
          <w:lang w:val="en-ID"/>
        </w:rPr>
      </w:pPr>
      <w:r w:rsidRPr="00CC5505">
        <w:rPr>
          <w:rFonts w:ascii="Book Antiqua" w:hAnsi="Book Antiqua"/>
          <w:sz w:val="26"/>
          <w:szCs w:val="26"/>
          <w:lang w:val="en-ID"/>
        </w:rPr>
        <w:t>Sustainability is widely acknowledged as one of the most critical challenges faced by educational institutions in today's world</w:t>
      </w:r>
      <w:r w:rsidR="00071DF7" w:rsidRPr="00CC5505">
        <w:rPr>
          <w:rFonts w:ascii="Book Antiqua" w:hAnsi="Book Antiqua"/>
          <w:sz w:val="26"/>
          <w:szCs w:val="26"/>
          <w:lang w:val="en-ID"/>
        </w:rPr>
        <w:t xml:space="preserve"> </w:t>
      </w:r>
      <w:r w:rsidR="00071DF7" w:rsidRPr="00CC5505">
        <w:rPr>
          <w:rFonts w:ascii="Book Antiqua" w:hAnsi="Book Antiqua"/>
          <w:sz w:val="26"/>
          <w:szCs w:val="26"/>
          <w:lang w:val="en-ID"/>
        </w:rPr>
        <w:fldChar w:fldCharType="begin" w:fldLock="1"/>
      </w:r>
      <w:r w:rsidR="00B52D07" w:rsidRPr="00CC5505">
        <w:rPr>
          <w:rFonts w:ascii="Book Antiqua" w:hAnsi="Book Antiqua"/>
          <w:sz w:val="26"/>
          <w:szCs w:val="26"/>
          <w:lang w:val="en-ID"/>
        </w:rPr>
        <w:instrText>ADDIN CSL_CITATION {"citationItems":[{"id":"ITEM-1","itemData":{"DOI":"10.1007/978-981-99-6368-3_45","ISBN":"23662557 (ISSN); 978-981996367-6 (ISBN)","abstract":"The article is the study of the logics to create and evaluate the sustainable architecture. As it focuses on the solving of sustainability challenges, such as environmental crisis, their origin is revised with the purpose to investigate in ‘curing the roots rather than the fruits’. The study consists of two parts. The first is the search of the parallels in variety of concepts of sustainability interacting physical and mental attributes. Their constitution is revised, patterns of behavior or, alternatively, performance questing possibilities to make a change. It is theoretical considerations on analogy of particularities of sustainability in different fields, such as sociology, education, architecture, economy, and in the variety contexts of time as a result of study of national and international scientific literature, documents, and initiatives. The second part is the case study of clay possibilities for molding architectural solutions in such a form illustrating the prototype of evaluation of the levels of sustainability. The notion of the art embodies suggestion of the way of thinking as guidelines to create quality sustainable solutions rather than only the ultimate end by itself. Conclusions and proposals are given. © The Author(s), under exclusive license to Springer Nature Singapore Pte Ltd. 2024.","author":[{"dropping-particle":"","family":"Augustinaite","given":"D","non-dropping-particle":"","parse-names":false,"suffix":""}],"container-title":"Lecture Notes in Civil Engineering","editor":[{"dropping-particle":"","family":"M.","given":"Casini","non-dropping-particle":"","parse-names":false,"suffix":""}],"id":"ITEM-1","issued":{"date-parts":[["2024"]]},"language":"English","note":"Export Date: 01 August 2024; Cited By: 0; Correspondence Address: D. Augustinaite; Vilnius Gediminas Technical University, Vilnius, 01132, Lithuania; email: dalia@augustinaite.lt; Conference name: 3rd International Civil Engineering and Architecture Conference, CEAC 2023; Conference date: 17 March 2023 through 20 March 2023; Conference code: 307849","page":"539-552","publisher":"Springer Science and Business Media Deutschland GmbH","publisher-place":"Vilnius Gediminas Technical University, Vilnius, 01132, Lithuania","title":"The Art of Sustainable Architecture Creation and Evaluation","type":"paper-conference","volume":"389"},"uris":["http://www.mendeley.com/documents/?uuid=aac8ac8c-bab9-49cc-9f1f-3d977a82d2ec"]},{"id":"ITEM-2","itemData":{"DOI":"10.3389/fmtec.2022.951643","ISSN":"2813-0359","abstract":"There is a recognized need for mass personalization for sustainability at scale. Mass personalization is becoming a leading research trend in the latest Industrial Revolution, whereas substantial research has been undertaken on the role of Industry 4.0 enabling technologies. The world is moving beyond mass customization, while manufacturing has led to mass personalization ahead of other industries. However, most studies have not treated human capabilities, machines, and technologies as sustainable collaboration. This research investigates mass personalization as a common goal under the latest Industrial revolutions. Also, it proposes a Reference Architecture Model for achieving mass personalization that contributes to understanding how Industry 5.0 enhances Industry 4.0 for higher resilience and sustainability through a human-centric approach. The study implies that Human Capital 5.0 leads collaboration with machines and technologies, bringing more value-added and sustainable products.","author":[{"dropping-particle":"","family":"Aheleroff","given":"Shohin","non-dropping-particle":"","parse-names":false,"suffix":""},{"dropping-particle":"","family":"Huang","given":"Huiyue","non-dropping-particle":"","parse-names":false,"suffix":""},{"dropping-particle":"","family":"Xu","given":"Xun","non-dropping-particle":"","parse-names":false,"suffix":""},{"dropping-particle":"","family":"Zhong","given":"Ray Y.","non-dropping-particle":"","parse-names":false,"suffix":""}],"container-title":"Frontiers in Manufacturing Technology","id":"ITEM-2","issued":{"date-parts":[["2022","10","31"]]},"title":"Toward Sustainability and Resilience with Industry 4.0 and Industry 5.0","type":"article-journal","volume":"2"},"uris":["http://www.mendeley.com/documents/?uuid=0b6f09d6-2398-4998-96f2-d6584d5586b4"]},{"id":"ITEM-3","itemData":{"DOI":"10.1007/978-3-031-36286-6_1","ISBN":"23645067 (ISSN)","abstract":"This study examines the relationship between board diversity and sustainability. The research sample consists of 38 companies listed on the Indonesia Stock Exchange from 2012 to 2018. Research data was collected from annual and sustainability reports and then analyzed using multiple regressions. We find that the level of sustainability disclosure in the sample companies is still relatively low, with an average of 17.49 points out of the 83 points listed in the Global Reporting Initiative standards. We find that the nationality and education level of the board of directors have a positive and significant relationship with sustainability disclosure. In contrast, board gender, age, and independent directors have a negative and significant relationship with sustainability disclosure. We also find that board education level has a positive and significant relationship with sustainability spending. However, gender has a negative and significant relationship with sustainability spending. We further find that the amount spent on sustainability initiatives does not match the level of sustainability disclosure. This suggests that companies disclosing higher sustainability factors do not necessarily spend more money on sustainability activities. Thus, in line with agency theory, there appears to be a practice of managerial entrenchment by outlining sustainability activities more extensively than the value invested. This study sheds light on the hidden lack of commitment to corporate sustainability, contributing to the debate in the sustainability literature. © The Author(s), under exclusive license to Springer Nature Switzerland AG 2023.","author":[{"dropping-particle":"","family":"Zuraida","given":"Z","non-dropping-particle":"","parse-names":false,"suffix":""},{"dropping-particle":"","family":"Musnadi","given":"S","non-dropping-particle":"","parse-names":false,"suffix":""}],"container-title":"Eurasian Studies in Business and Economics","id":"ITEM-3","issued":{"date-parts":[["2023"]]},"language":"English","note":"Export Date: 28 July 2024; Cited By: 0; Correspondence Address: Z. Zuraida; Department of Accounting, Faculty of Economics and Business, Syiah Kuala University, Banda Aceh, Indonesia; email: zuraida@feb.unsyiah.ac.id","page":"3-21","publisher":"Springer Science and Business Media B.V.","publisher-place":"Department of Accounting, Faculty of Economics and Business, Syiah Kuala University, Banda Aceh, Indonesia","title":"Board Diversity and Sustainability: Indonesian Evidence","type":"chapter","volume":"25"},"uris":["http://www.mendeley.com/documents/?uuid=be45f074-c4e3-4544-820f-bdfad9f52f8d"]}],"mendeley":{"formattedCitation":"(Aheleroff et al., 2022; Augustinaite, 2024; Zuraida &amp; Musnadi, 2023)","plainTextFormattedCitation":"(Aheleroff et al., 2022; Augustinaite, 2024; Zuraida &amp; Musnadi, 2023)","previouslyFormattedCitation":"(Aheleroff et al., 2022; Augustinaite, 2024; Zuraida &amp; Musnadi, 2023)"},"properties":{"noteIndex":0},"schema":"https://github.com/citation-style-language/schema/raw/master/csl-citation.json"}</w:instrText>
      </w:r>
      <w:r w:rsidR="00071DF7" w:rsidRPr="00CC5505">
        <w:rPr>
          <w:rFonts w:ascii="Book Antiqua" w:hAnsi="Book Antiqua"/>
          <w:sz w:val="26"/>
          <w:szCs w:val="26"/>
          <w:lang w:val="en-ID"/>
        </w:rPr>
        <w:fldChar w:fldCharType="separate"/>
      </w:r>
      <w:hyperlink w:anchor="Aheleroff" w:history="1">
        <w:r w:rsidR="00B52D07" w:rsidRPr="00CC5505">
          <w:rPr>
            <w:rStyle w:val="Hyperlink"/>
            <w:rFonts w:ascii="Book Antiqua" w:hAnsi="Book Antiqua"/>
            <w:noProof/>
            <w:sz w:val="26"/>
            <w:szCs w:val="26"/>
            <w:u w:val="none"/>
            <w:lang w:val="en-ID"/>
          </w:rPr>
          <w:t>(Aheleroff et al., 2022;</w:t>
        </w:r>
      </w:hyperlink>
      <w:r w:rsidR="00B52D07" w:rsidRPr="00CC5505">
        <w:rPr>
          <w:rFonts w:ascii="Book Antiqua" w:hAnsi="Book Antiqua"/>
          <w:noProof/>
          <w:sz w:val="26"/>
          <w:szCs w:val="26"/>
          <w:lang w:val="en-ID"/>
        </w:rPr>
        <w:t xml:space="preserve"> </w:t>
      </w:r>
      <w:hyperlink w:anchor="Augustinaite" w:history="1">
        <w:r w:rsidR="00B52D07" w:rsidRPr="00CC5505">
          <w:rPr>
            <w:rStyle w:val="Hyperlink"/>
            <w:rFonts w:ascii="Book Antiqua" w:hAnsi="Book Antiqua"/>
            <w:noProof/>
            <w:sz w:val="26"/>
            <w:szCs w:val="26"/>
            <w:u w:val="none"/>
            <w:lang w:val="en-ID"/>
          </w:rPr>
          <w:t>Augustinaite, 2024;</w:t>
        </w:r>
      </w:hyperlink>
      <w:r w:rsidR="00B52D07" w:rsidRPr="00CC5505">
        <w:rPr>
          <w:rFonts w:ascii="Book Antiqua" w:hAnsi="Book Antiqua"/>
          <w:noProof/>
          <w:sz w:val="26"/>
          <w:szCs w:val="26"/>
          <w:lang w:val="en-ID"/>
        </w:rPr>
        <w:t xml:space="preserve"> </w:t>
      </w:r>
      <w:hyperlink w:anchor="Zuraida" w:history="1">
        <w:r w:rsidR="00B52D07" w:rsidRPr="00CC5505">
          <w:rPr>
            <w:rStyle w:val="Hyperlink"/>
            <w:rFonts w:ascii="Book Antiqua" w:hAnsi="Book Antiqua"/>
            <w:noProof/>
            <w:sz w:val="26"/>
            <w:szCs w:val="26"/>
            <w:u w:val="none"/>
            <w:lang w:val="en-ID"/>
          </w:rPr>
          <w:t>Zuraida &amp; Musnadi, 2023)</w:t>
        </w:r>
      </w:hyperlink>
      <w:r w:rsidR="00071DF7" w:rsidRPr="00CC5505">
        <w:rPr>
          <w:rFonts w:ascii="Book Antiqua" w:hAnsi="Book Antiqua"/>
          <w:sz w:val="26"/>
          <w:szCs w:val="26"/>
          <w:lang w:val="en-ID"/>
        </w:rPr>
        <w:fldChar w:fldCharType="end"/>
      </w:r>
      <w:r w:rsidRPr="00CC5505">
        <w:rPr>
          <w:rFonts w:ascii="Book Antiqua" w:hAnsi="Book Antiqua"/>
          <w:sz w:val="26"/>
          <w:szCs w:val="26"/>
          <w:lang w:val="en-ID"/>
        </w:rPr>
        <w:t>. As the importance of sustainable practices becomes increasingly evident, educational institutions are recognizing the significant role that projects can play in promoting and realizing sustainability goals</w:t>
      </w:r>
      <w:r w:rsidR="00B52D07" w:rsidRPr="00CC5505">
        <w:rPr>
          <w:rFonts w:ascii="Book Antiqua" w:hAnsi="Book Antiqua"/>
          <w:sz w:val="26"/>
          <w:szCs w:val="26"/>
          <w:lang w:val="en-ID"/>
        </w:rPr>
        <w:t xml:space="preserve"> </w:t>
      </w:r>
      <w:hyperlink w:anchor="R" w:history="1">
        <w:r w:rsidR="00B52D07" w:rsidRPr="00CC5505">
          <w:rPr>
            <w:rStyle w:val="Hyperlink"/>
            <w:rFonts w:ascii="Book Antiqua" w:hAnsi="Book Antiqua"/>
            <w:sz w:val="26"/>
            <w:szCs w:val="26"/>
            <w:u w:val="none"/>
            <w:lang w:val="en-ID"/>
          </w:rPr>
          <w:fldChar w:fldCharType="begin" w:fldLock="1"/>
        </w:r>
        <w:r w:rsidR="00B52D07" w:rsidRPr="00CC5505">
          <w:rPr>
            <w:rStyle w:val="Hyperlink"/>
            <w:rFonts w:ascii="Book Antiqua" w:hAnsi="Book Antiqua"/>
            <w:sz w:val="26"/>
            <w:szCs w:val="26"/>
            <w:u w:val="none"/>
            <w:lang w:val="en-ID"/>
          </w:rPr>
          <w:instrText>ADDIN CSL_CITATION {"citationItems":[{"id":"ITEM-1","itemData":{"ISSN":"25228714 (ISSN); 978-303150893-6 (ISBN)","abstract":"The proceedings contain 18 papers. The special focus in this conference is on Sustainability in Creative Industries. The topics include: The Influence of Entrepreneurial Alertness on New Venture Performance with Networking Capability as a Moderator at Start-Up in Surabaya; Fashionpreneur: Sustaining Traditional Batik Craft Through Entrepreneurship Activity Among Students at Universiti Malaysia Kelantan (UMK); mascot and Brand Sustainability in Pandemic Era: Systematic Literature Review; explorative Learning Space for Developing Motoric Skills in the Early Childhood Stage; utilizing Virtual Reality to Support Teaching the Design Principles of the Life-Safety System; Virtual Personal Branding Education Workshop for GenIUS School Students Using Framework for Innovation Participatory Design Method; The Impact of a Connectivist Learning Environment on Indonesian Design Students’ Learning Experiences Through MOOC; competences, Capabilities, and Skills in Teaching and Learning Fashion Design for Sustainability; Project-Based Learning (PBL): Student Creativities in the Upcycling Projects; upcycling the Abandoned Students Artwork with Bateson’s Type of Learning in Entrepreneurship Course; student Perception and Behavioral Changes in Blended Learning Implementation; the Collaboration Between Academic and Industry in Creative Industry and Sustainability-Based Programs: The Academic Perspective; sound Visualization Based on Font Modification Using the Sound of Angklung; the Implementation of Deep Learning Technique in Mobile Application as a Preservation and Learning Media of Javanese Letter; Web-Based Human Resource Information System Design AT PT. Cakra Mandala Sakti Surabaya; User Experience Toward Sustainable Choice: Case Study ZALORA Indonesia.","container-title":"Advances in Science, Technology and Innovation","editor":[{"dropping-particle":"","family":"R.","given":"Cano-Guervos","non-dropping-particle":"","parse-names":false,"suffix":""},{"dropping-particle":"","family":"J.","given":"Chica-Olmo","non-dropping-particle":"","parse-names":false,"suffix":""},{"dropping-particle":"","family":"J.G.G.","given":"Morales","non-dropping-particle":"","parse-names":false,"suffix":""},{"dropping-particle":"","family":"M.N.","given":"Tunio","non-dropping-particle":"","parse-names":false,"suffix":""},{"dropping-particle":"","family":"F.H.S.","given":"Murillo","non-dropping-particle":"","parse-names":false,"suffix":""},{"dropping-particle":"","family":"M.C.","given":"Olivas","non-dropping-particle":"","parse-names":false,"suffix":""},{"dropping-particle":"","family":"A.M.","given":"Zakaria Eraqi","non-dropping-particle":"","parse-names":false,"suffix":""}],"id":"ITEM-1","issued":{"date-parts":[["2024"]]},"language":"English","note":"Export Date: 21 June 2024; Cited By: 0; Conference name: 1st International Conference on Sustainability in Creative Industries, SCI 2022; Conference date: 10 November 2022 through 11 November 2022; Conference code: 311179","publisher":"Springer Nature","title":"1st International Conference on Sustainability in Creative Industries, SCI 2022","type":"article-journal"},"uris":["http://www.mendeley.com/documents/?uuid=a0d30050-8366-4d3d-88de-8180859c8509"]}],"mendeley":{"formattedCitation":"(R. et al., 2024)","plainTextFormattedCitation":"(R. et al., 2024)","previouslyFormattedCitation":"(R. et al., 2024)"},"properties":{"noteIndex":0},"schema":"https://github.com/citation-style-language/schema/raw/master/csl-citation.json"}</w:instrText>
        </w:r>
        <w:r w:rsidR="00B52D07" w:rsidRPr="00CC5505">
          <w:rPr>
            <w:rStyle w:val="Hyperlink"/>
            <w:rFonts w:ascii="Book Antiqua" w:hAnsi="Book Antiqua"/>
            <w:sz w:val="26"/>
            <w:szCs w:val="26"/>
            <w:u w:val="none"/>
            <w:lang w:val="en-ID"/>
          </w:rPr>
          <w:fldChar w:fldCharType="separate"/>
        </w:r>
        <w:r w:rsidR="00B52D07" w:rsidRPr="00CC5505">
          <w:rPr>
            <w:rStyle w:val="Hyperlink"/>
            <w:rFonts w:ascii="Book Antiqua" w:hAnsi="Book Antiqua"/>
            <w:noProof/>
            <w:sz w:val="26"/>
            <w:szCs w:val="26"/>
            <w:u w:val="none"/>
            <w:lang w:val="en-ID"/>
          </w:rPr>
          <w:t>(R. et al., 2024)</w:t>
        </w:r>
        <w:r w:rsidR="00B52D07" w:rsidRPr="00CC5505">
          <w:rPr>
            <w:rStyle w:val="Hyperlink"/>
            <w:rFonts w:ascii="Book Antiqua" w:hAnsi="Book Antiqua"/>
            <w:sz w:val="26"/>
            <w:szCs w:val="26"/>
            <w:u w:val="none"/>
            <w:lang w:val="en-ID"/>
          </w:rPr>
          <w:fldChar w:fldCharType="end"/>
        </w:r>
      </w:hyperlink>
      <w:r w:rsidRPr="00CC5505">
        <w:rPr>
          <w:rFonts w:ascii="Book Antiqua" w:hAnsi="Book Antiqua"/>
          <w:sz w:val="26"/>
          <w:szCs w:val="26"/>
          <w:lang w:val="en-ID"/>
        </w:rPr>
        <w:t>. In fact, the relationship between schools and sustainability has emerged as a developing theme in the field of organizational leadership</w:t>
      </w:r>
      <w:r w:rsidR="00071DF7" w:rsidRPr="00CC5505">
        <w:rPr>
          <w:rFonts w:ascii="Book Antiqua" w:hAnsi="Book Antiqua"/>
          <w:sz w:val="26"/>
          <w:szCs w:val="26"/>
          <w:lang w:val="en-ID"/>
        </w:rPr>
        <w:t xml:space="preserve"> </w:t>
      </w:r>
      <w:hyperlink w:anchor="McGill" w:history="1">
        <w:r w:rsidR="00071DF7" w:rsidRPr="00CC5505">
          <w:rPr>
            <w:rStyle w:val="Hyperlink"/>
            <w:rFonts w:ascii="Book Antiqua" w:hAnsi="Book Antiqua"/>
            <w:sz w:val="26"/>
            <w:szCs w:val="26"/>
            <w:u w:val="none"/>
            <w:lang w:val="en-ID"/>
          </w:rPr>
          <w:fldChar w:fldCharType="begin" w:fldLock="1"/>
        </w:r>
        <w:r w:rsidR="00B52D07" w:rsidRPr="00CC5505">
          <w:rPr>
            <w:rStyle w:val="Hyperlink"/>
            <w:rFonts w:ascii="Book Antiqua" w:hAnsi="Book Antiqua"/>
            <w:sz w:val="26"/>
            <w:szCs w:val="26"/>
            <w:u w:val="none"/>
            <w:lang w:val="en-ID"/>
          </w:rPr>
          <w:instrText>ADDIN CSL_CITATION {"citationItems":[{"id":"ITEM-1","itemData":{"DOI":"10.1002/jid.3114","ISSN":"09541748","abstract":"Negotiations around Sustainable Development Goals and the post-2015 development agenda should go beyond just re-writing goals and targets that adhere to ‘sustaining’ the same old economic and social models. Instead, societies and governments should take this as an opportunity to advance more radical conceptual and practical approaches that challenge this reductive understanding of ‘sustainability’. The paper argues that we should turn our attention to prosperity rather than to development per se, recognising the critical role political and social innovation should have in unleashing individuals' potential to flourishing in a context of finite resources. The interwoven, interdependent and ever-evolving nature of socio-ecological systems, together with the uncertainties and ‘unknowns’ that characterise contemporary reality, questions the relevance of one-size-fits-all goals. There is no single route to prosperity; diversity of objectives is essential and fundamental. Learning from initiatives in the Global South, such as the case of agroecology, might pave the way towards this paradigm shift. Copyright © 2015 John Wiley &amp; Sons, Ltd.","author":[{"dropping-particle":"","family":"Moore","given":"Henrietta L.","non-dropping-particle":"","parse-names":false,"suffix":""}],"container-title":"Journal of International Development","id":"ITEM-1","issue":"6","issued":{"date-parts":[["2015","8"]]},"page":"801-815","title":"Global Prosperity and Sustainable Development Goals","type":"article-journal","volume":"27"},"uris":["http://www.mendeley.com/documents/?uuid=f4b6c965-3267-47c3-a4f6-ef52d3c95b65"]},{"id":"ITEM-2","itemData":{"author":[{"dropping-particle":"","family":"McGill","given":"Michael","non-dropping-particle":"","parse-names":false,"suffix":""}],"container-title":"Teachers College Record","id":"ITEM-2","issue":"1","issued":{"date-parts":[["2006"]]},"page":"8-11","title":"Leadership &amp; Sustainability: System Thinkers in Action","type":"article-journal","volume":"108"},"uris":["http://www.mendeley.com/documents/?uuid=863ba518-ee8d-4b01-883b-08cfff846156"]}],"mendeley":{"formattedCitation":"(McGill, 2006; Moore, 2015)","plainTextFormattedCitation":"(McGill, 2006; Moore, 2015)","previouslyFormattedCitation":"(McGill, 2006; Moore, 2015)"},"properties":{"noteIndex":0},"schema":"https://github.com/citation-style-language/schema/raw/master/csl-citation.json"}</w:instrText>
        </w:r>
        <w:r w:rsidR="00071DF7" w:rsidRPr="00CC5505">
          <w:rPr>
            <w:rStyle w:val="Hyperlink"/>
            <w:rFonts w:ascii="Book Antiqua" w:hAnsi="Book Antiqua"/>
            <w:sz w:val="26"/>
            <w:szCs w:val="26"/>
            <w:u w:val="none"/>
            <w:lang w:val="en-ID"/>
          </w:rPr>
          <w:fldChar w:fldCharType="separate"/>
        </w:r>
        <w:r w:rsidR="00B52D07" w:rsidRPr="00CC5505">
          <w:rPr>
            <w:rStyle w:val="Hyperlink"/>
            <w:rFonts w:ascii="Book Antiqua" w:hAnsi="Book Antiqua"/>
            <w:noProof/>
            <w:sz w:val="26"/>
            <w:szCs w:val="26"/>
            <w:u w:val="none"/>
            <w:lang w:val="en-ID"/>
          </w:rPr>
          <w:t>(McGill, 2006; Moore, 2015)</w:t>
        </w:r>
        <w:r w:rsidR="00071DF7" w:rsidRPr="00CC5505">
          <w:rPr>
            <w:rStyle w:val="Hyperlink"/>
            <w:rFonts w:ascii="Book Antiqua" w:hAnsi="Book Antiqua"/>
            <w:sz w:val="26"/>
            <w:szCs w:val="26"/>
            <w:u w:val="none"/>
            <w:lang w:val="en-ID"/>
          </w:rPr>
          <w:fldChar w:fldCharType="end"/>
        </w:r>
      </w:hyperlink>
      <w:r w:rsidRPr="00CC5505">
        <w:rPr>
          <w:rFonts w:ascii="Book Antiqua" w:hAnsi="Book Antiqua"/>
          <w:sz w:val="26"/>
          <w:szCs w:val="26"/>
          <w:lang w:val="en-ID"/>
        </w:rPr>
        <w:t>.</w:t>
      </w:r>
    </w:p>
    <w:p w14:paraId="7FC49DFB" w14:textId="4F6D5B0B" w:rsidR="00C7400F" w:rsidRPr="00CC5505" w:rsidRDefault="00C7400F" w:rsidP="00E41129">
      <w:pPr>
        <w:spacing w:line="276" w:lineRule="auto"/>
        <w:ind w:firstLine="567"/>
        <w:jc w:val="both"/>
        <w:rPr>
          <w:rFonts w:ascii="Book Antiqua" w:hAnsi="Book Antiqua"/>
          <w:sz w:val="26"/>
          <w:szCs w:val="26"/>
          <w:lang w:val="en-ID"/>
        </w:rPr>
      </w:pPr>
      <w:r w:rsidRPr="00CC5505">
        <w:rPr>
          <w:rFonts w:ascii="Book Antiqua" w:hAnsi="Book Antiqua"/>
          <w:sz w:val="26"/>
          <w:szCs w:val="26"/>
          <w:lang w:val="en-ID"/>
        </w:rPr>
        <w:lastRenderedPageBreak/>
        <w:t xml:space="preserve">Educational institutions, as </w:t>
      </w:r>
      <w:proofErr w:type="spellStart"/>
      <w:r w:rsidRPr="00CC5505">
        <w:rPr>
          <w:rFonts w:ascii="Book Antiqua" w:hAnsi="Book Antiqua"/>
          <w:sz w:val="26"/>
          <w:szCs w:val="26"/>
          <w:lang w:val="en-ID"/>
        </w:rPr>
        <w:t>centers</w:t>
      </w:r>
      <w:proofErr w:type="spellEnd"/>
      <w:r w:rsidRPr="00CC5505">
        <w:rPr>
          <w:rFonts w:ascii="Book Antiqua" w:hAnsi="Book Antiqua"/>
          <w:sz w:val="26"/>
          <w:szCs w:val="26"/>
          <w:lang w:val="en-ID"/>
        </w:rPr>
        <w:t xml:space="preserve"> of learning and knowledge dissemination, have a unique opportunity to </w:t>
      </w:r>
      <w:proofErr w:type="spellStart"/>
      <w:r w:rsidRPr="00CC5505">
        <w:rPr>
          <w:rFonts w:ascii="Book Antiqua" w:hAnsi="Book Antiqua"/>
          <w:sz w:val="26"/>
          <w:szCs w:val="26"/>
          <w:lang w:val="en-ID"/>
        </w:rPr>
        <w:t>instill</w:t>
      </w:r>
      <w:proofErr w:type="spellEnd"/>
      <w:r w:rsidRPr="00CC5505">
        <w:rPr>
          <w:rFonts w:ascii="Book Antiqua" w:hAnsi="Book Antiqua"/>
          <w:sz w:val="26"/>
          <w:szCs w:val="26"/>
          <w:lang w:val="en-ID"/>
        </w:rPr>
        <w:t xml:space="preserve"> sustainability values and practices in students, faculty, and the wider community</w:t>
      </w:r>
      <w:r w:rsidR="00B52D07" w:rsidRPr="00CC5505">
        <w:rPr>
          <w:rFonts w:ascii="Book Antiqua" w:hAnsi="Book Antiqua"/>
          <w:sz w:val="26"/>
          <w:szCs w:val="26"/>
          <w:lang w:val="en-ID"/>
        </w:rPr>
        <w:t xml:space="preserve"> </w:t>
      </w:r>
      <w:hyperlink w:anchor="Smith" w:history="1">
        <w:r w:rsidR="00B52D07" w:rsidRPr="00CC5505">
          <w:rPr>
            <w:rStyle w:val="Hyperlink"/>
            <w:rFonts w:ascii="Book Antiqua" w:hAnsi="Book Antiqua"/>
            <w:sz w:val="26"/>
            <w:szCs w:val="26"/>
            <w:u w:val="none"/>
            <w:lang w:val="en-ID"/>
          </w:rPr>
          <w:fldChar w:fldCharType="begin" w:fldLock="1"/>
        </w:r>
        <w:r w:rsidR="00B52D07" w:rsidRPr="00CC5505">
          <w:rPr>
            <w:rStyle w:val="Hyperlink"/>
            <w:rFonts w:ascii="Book Antiqua" w:hAnsi="Book Antiqua"/>
            <w:sz w:val="26"/>
            <w:szCs w:val="26"/>
            <w:u w:val="none"/>
            <w:lang w:val="en-ID"/>
          </w:rPr>
          <w:instrText>ADDIN CSL_CITATION {"citationItems":[{"id":"ITEM-1","itemData":{"DOI":"10.1108/09696471111095957","ISSN":"0969-6474","abstract":"Purpose While the adoption of corporate social responsibility reporting has been growing, less interest has been evoked in how organizations are in fact responding to organizational sustainability, or what their relevant optimal strategies ought to be. Triple Bottom Line Sustainability (TBLS) as a desirable organizational goal is now generating some interest, and it is defined here, together with an exploration of the systemic issues which influence organizational attitudes regarding its achievement. Attention is drawn to lessons to be learned from how a learning organization, on either the local or global scale, might respond to the challenges of achieving sustainability. By exploring research and practitioner viewpoints bearing on sustainability</w:instrText>
        </w:r>
        <w:r w:rsidR="00B52D07" w:rsidRPr="00CC5505">
          <w:rPr>
            <w:rStyle w:val="Hyperlink"/>
            <w:rFonts w:ascii="Cambria Math" w:hAnsi="Cambria Math" w:cs="Cambria Math"/>
            <w:sz w:val="26"/>
            <w:szCs w:val="26"/>
            <w:u w:val="none"/>
            <w:lang w:val="en-ID"/>
          </w:rPr>
          <w:instrText>‐</w:instrText>
        </w:r>
        <w:r w:rsidR="00B52D07" w:rsidRPr="00CC5505">
          <w:rPr>
            <w:rStyle w:val="Hyperlink"/>
            <w:rFonts w:ascii="Book Antiqua" w:hAnsi="Book Antiqua"/>
            <w:sz w:val="26"/>
            <w:szCs w:val="26"/>
            <w:u w:val="none"/>
            <w:lang w:val="en-ID"/>
          </w:rPr>
          <w:instrText>related promotion of organizational learning, and means to change industrial</w:instrText>
        </w:r>
        <w:r w:rsidR="00B52D07" w:rsidRPr="00CC5505">
          <w:rPr>
            <w:rStyle w:val="Hyperlink"/>
            <w:rFonts w:ascii="Cambria Math" w:hAnsi="Cambria Math" w:cs="Cambria Math"/>
            <w:sz w:val="26"/>
            <w:szCs w:val="26"/>
            <w:u w:val="none"/>
            <w:lang w:val="en-ID"/>
          </w:rPr>
          <w:instrText>‐</w:instrText>
        </w:r>
        <w:r w:rsidR="00B52D07" w:rsidRPr="00CC5505">
          <w:rPr>
            <w:rStyle w:val="Hyperlink"/>
            <w:rFonts w:ascii="Book Antiqua" w:hAnsi="Book Antiqua"/>
            <w:sz w:val="26"/>
            <w:szCs w:val="26"/>
            <w:u w:val="none"/>
            <w:lang w:val="en-ID"/>
          </w:rPr>
          <w:instrText>age mindsets, this special issue aims to help organizations remove cultural and structural barriers to progressing sustainability. Design/methodology/approach General sustainability</w:instrText>
        </w:r>
        <w:r w:rsidR="00B52D07" w:rsidRPr="00CC5505">
          <w:rPr>
            <w:rStyle w:val="Hyperlink"/>
            <w:rFonts w:ascii="Cambria Math" w:hAnsi="Cambria Math" w:cs="Cambria Math"/>
            <w:sz w:val="26"/>
            <w:szCs w:val="26"/>
            <w:u w:val="none"/>
            <w:lang w:val="en-ID"/>
          </w:rPr>
          <w:instrText>‐</w:instrText>
        </w:r>
        <w:r w:rsidR="00B52D07" w:rsidRPr="00CC5505">
          <w:rPr>
            <w:rStyle w:val="Hyperlink"/>
            <w:rFonts w:ascii="Book Antiqua" w:hAnsi="Book Antiqua"/>
            <w:sz w:val="26"/>
            <w:szCs w:val="26"/>
            <w:u w:val="none"/>
            <w:lang w:val="en-ID"/>
          </w:rPr>
          <w:instrText>related concerns and challenges are reviewed, and individual authors voice their understanding of various elements of sustainability based on their research, their case studies, and the extant literature. Findings Findings include enhanced understanding of how economic vested interests and political dynamics can block effective decision making in the sustainability field, even though the many sustainability experiences from around the world have provided practical means for companies to enhance their economic growth without affecting environments and communities. The impact of two different styles of leadership on the creation of a positive and a negative sustainability</w:instrText>
        </w:r>
        <w:r w:rsidR="00B52D07" w:rsidRPr="00CC5505">
          <w:rPr>
            <w:rStyle w:val="Hyperlink"/>
            <w:rFonts w:ascii="Cambria Math" w:hAnsi="Cambria Math" w:cs="Cambria Math"/>
            <w:sz w:val="26"/>
            <w:szCs w:val="26"/>
            <w:u w:val="none"/>
            <w:lang w:val="en-ID"/>
          </w:rPr>
          <w:instrText>‐</w:instrText>
        </w:r>
        <w:r w:rsidR="00B52D07" w:rsidRPr="00CC5505">
          <w:rPr>
            <w:rStyle w:val="Hyperlink"/>
            <w:rFonts w:ascii="Book Antiqua" w:hAnsi="Book Antiqua"/>
            <w:sz w:val="26"/>
            <w:szCs w:val="26"/>
            <w:u w:val="none"/>
            <w:lang w:val="en-ID"/>
          </w:rPr>
          <w:instrText>enabling environment is explained, and it is suggested that having a better understanding of an organization's ability to adapt and self</w:instrText>
        </w:r>
        <w:r w:rsidR="00B52D07" w:rsidRPr="00CC5505">
          <w:rPr>
            <w:rStyle w:val="Hyperlink"/>
            <w:rFonts w:ascii="Cambria Math" w:hAnsi="Cambria Math" w:cs="Cambria Math"/>
            <w:sz w:val="26"/>
            <w:szCs w:val="26"/>
            <w:u w:val="none"/>
            <w:lang w:val="en-ID"/>
          </w:rPr>
          <w:instrText>‐</w:instrText>
        </w:r>
        <w:r w:rsidR="00B52D07" w:rsidRPr="00CC5505">
          <w:rPr>
            <w:rStyle w:val="Hyperlink"/>
            <w:rFonts w:ascii="Book Antiqua" w:hAnsi="Book Antiqua"/>
            <w:sz w:val="26"/>
            <w:szCs w:val="26"/>
            <w:u w:val="none"/>
            <w:lang w:val="en-ID"/>
          </w:rPr>
          <w:instrText>regulate on crucial issues for sustainability may help to develop a path through the ongoing socio</w:instrText>
        </w:r>
        <w:r w:rsidR="00B52D07" w:rsidRPr="00CC5505">
          <w:rPr>
            <w:rStyle w:val="Hyperlink"/>
            <w:rFonts w:ascii="Cambria Math" w:hAnsi="Cambria Math" w:cs="Cambria Math"/>
            <w:sz w:val="26"/>
            <w:szCs w:val="26"/>
            <w:u w:val="none"/>
            <w:lang w:val="en-ID"/>
          </w:rPr>
          <w:instrText>‐</w:instrText>
        </w:r>
        <w:r w:rsidR="00B52D07" w:rsidRPr="00CC5505">
          <w:rPr>
            <w:rStyle w:val="Hyperlink"/>
            <w:rFonts w:ascii="Book Antiqua" w:hAnsi="Book Antiqua"/>
            <w:sz w:val="26"/>
            <w:szCs w:val="26"/>
            <w:u w:val="none"/>
            <w:lang w:val="en-ID"/>
          </w:rPr>
          <w:instrText>ecological crisis. In addition, the importance of an organization having an extended view of its endeavors in corporate and business ethics is revealed. An action research study is also presented to show how organizations currently view and implement sustainability, and to identify which critical systemic components are yet to be seriously addressed. Originality/value The opinions and research presented provide new and unique understanding of the elements contributing to organizational sustainability. Further value is added via the assessment of progress towa…","author":[{"dropping-particle":"","family":"Smith","given":"Peter A.C.","non-dropping-particle":"","parse-names":false,"suffix":""}],"container-title":"The Learning Organization","editor":[{"dropping-particle":"","family":"Smith","given":"Peter A.C.","non-dropping-particle":"","parse-names":false,"suffix":""}],"id":"ITEM-1","issue":"1","issued":{"date-parts":[["2011","1","11"]]},"page":"5-9","title":"Elements of Organizational Sustainability","type":"article-journal","volume":"18"},"uris":["http://www.mendeley.com/documents/?uuid=dd215b7e-cbd7-4edf-88ab-5b68298551aa"]}],"mendeley":{"formattedCitation":"(Smith, 2011)","plainTextFormattedCitation":"(Smith, 2011)","previouslyFormattedCitation":"(Smith, 2011)"},"properties":{"noteIndex":0},"schema":"https://github.com/citation-style-language/schema/raw/master/csl-citation.json"}</w:instrText>
        </w:r>
        <w:r w:rsidR="00B52D07" w:rsidRPr="00CC5505">
          <w:rPr>
            <w:rStyle w:val="Hyperlink"/>
            <w:rFonts w:ascii="Book Antiqua" w:hAnsi="Book Antiqua"/>
            <w:sz w:val="26"/>
            <w:szCs w:val="26"/>
            <w:u w:val="none"/>
            <w:lang w:val="en-ID"/>
          </w:rPr>
          <w:fldChar w:fldCharType="separate"/>
        </w:r>
        <w:r w:rsidR="00B52D07" w:rsidRPr="00CC5505">
          <w:rPr>
            <w:rStyle w:val="Hyperlink"/>
            <w:rFonts w:ascii="Book Antiqua" w:hAnsi="Book Antiqua"/>
            <w:noProof/>
            <w:sz w:val="26"/>
            <w:szCs w:val="26"/>
            <w:u w:val="none"/>
            <w:lang w:val="en-ID"/>
          </w:rPr>
          <w:t>(Smith, 2011)</w:t>
        </w:r>
        <w:r w:rsidR="00B52D07" w:rsidRPr="00CC5505">
          <w:rPr>
            <w:rStyle w:val="Hyperlink"/>
            <w:rFonts w:ascii="Book Antiqua" w:hAnsi="Book Antiqua"/>
            <w:sz w:val="26"/>
            <w:szCs w:val="26"/>
            <w:u w:val="none"/>
            <w:lang w:val="en-ID"/>
          </w:rPr>
          <w:fldChar w:fldCharType="end"/>
        </w:r>
      </w:hyperlink>
      <w:r w:rsidRPr="00CC5505">
        <w:rPr>
          <w:rFonts w:ascii="Book Antiqua" w:hAnsi="Book Antiqua"/>
          <w:sz w:val="26"/>
          <w:szCs w:val="26"/>
          <w:lang w:val="en-ID"/>
        </w:rPr>
        <w:t>. By incorporating sustainability principles into their projects and operations, schools can serve as role models and catalysts for sustainable practices</w:t>
      </w:r>
      <w:r w:rsidR="00B52D07" w:rsidRPr="00CC5505">
        <w:rPr>
          <w:rFonts w:ascii="Book Antiqua" w:hAnsi="Book Antiqua"/>
          <w:sz w:val="26"/>
          <w:szCs w:val="26"/>
          <w:lang w:val="en-ID"/>
        </w:rPr>
        <w:t xml:space="preserve"> </w:t>
      </w:r>
      <w:hyperlink w:anchor="Obal" w:history="1">
        <w:r w:rsidR="00B52D07" w:rsidRPr="00CC5505">
          <w:rPr>
            <w:rStyle w:val="Hyperlink"/>
            <w:rFonts w:ascii="Book Antiqua" w:hAnsi="Book Antiqua"/>
            <w:sz w:val="26"/>
            <w:szCs w:val="26"/>
            <w:u w:val="none"/>
            <w:lang w:val="en-ID"/>
          </w:rPr>
          <w:fldChar w:fldCharType="begin" w:fldLock="1"/>
        </w:r>
        <w:r w:rsidR="00B52D07" w:rsidRPr="00CC5505">
          <w:rPr>
            <w:rStyle w:val="Hyperlink"/>
            <w:rFonts w:ascii="Book Antiqua" w:hAnsi="Book Antiqua"/>
            <w:sz w:val="26"/>
            <w:szCs w:val="26"/>
            <w:u w:val="none"/>
            <w:lang w:val="en-ID"/>
          </w:rPr>
          <w:instrText>ADDIN CSL_CITATION {"citationItems":[{"id":"ITEM-1","itemData":{"ISSN":"2380-1751","author":[{"dropping-particle":"","family":"Obal","given":"Michael","non-dropping-particle":"","parse-names":false,"suffix":""},{"dropping-particle":"","family":"Morgan","given":"Todd","non-dropping-particle":"","parse-names":false,"suffix":""},{"dropping-particle":"","family":"Joseph","given":"George","non-dropping-particle":"","parse-names":false,"suffix":""}],"container-title":"Journal of Small Business Strategy","id":"ITEM-1","issue":"1","issued":{"date-parts":[["2020"]]},"page":"43-57","title":"Integrating Sustainability into New Product Development: The Role of Organizational Leadership and Culture","type":"article-journal","volume":"30"},"uris":["http://www.mendeley.com/documents/?uuid=c0adf175-148a-4757-a039-cb4a16d15687"]}],"mendeley":{"formattedCitation":"(Obal et al., 2020)","plainTextFormattedCitation":"(Obal et al., 2020)","previouslyFormattedCitation":"(Obal et al., 2020)"},"properties":{"noteIndex":0},"schema":"https://github.com/citation-style-language/schema/raw/master/csl-citation.json"}</w:instrText>
        </w:r>
        <w:r w:rsidR="00B52D07" w:rsidRPr="00CC5505">
          <w:rPr>
            <w:rStyle w:val="Hyperlink"/>
            <w:rFonts w:ascii="Book Antiqua" w:hAnsi="Book Antiqua"/>
            <w:sz w:val="26"/>
            <w:szCs w:val="26"/>
            <w:u w:val="none"/>
            <w:lang w:val="en-ID"/>
          </w:rPr>
          <w:fldChar w:fldCharType="separate"/>
        </w:r>
        <w:r w:rsidR="00B52D07" w:rsidRPr="00CC5505">
          <w:rPr>
            <w:rStyle w:val="Hyperlink"/>
            <w:rFonts w:ascii="Book Antiqua" w:hAnsi="Book Antiqua"/>
            <w:noProof/>
            <w:sz w:val="26"/>
            <w:szCs w:val="26"/>
            <w:u w:val="none"/>
            <w:lang w:val="en-ID"/>
          </w:rPr>
          <w:t>(Obal et al., 2020)</w:t>
        </w:r>
        <w:r w:rsidR="00B52D07" w:rsidRPr="00CC5505">
          <w:rPr>
            <w:rStyle w:val="Hyperlink"/>
            <w:rFonts w:ascii="Book Antiqua" w:hAnsi="Book Antiqua"/>
            <w:sz w:val="26"/>
            <w:szCs w:val="26"/>
            <w:u w:val="none"/>
            <w:lang w:val="en-ID"/>
          </w:rPr>
          <w:fldChar w:fldCharType="end"/>
        </w:r>
      </w:hyperlink>
      <w:r w:rsidRPr="00CC5505">
        <w:rPr>
          <w:rFonts w:ascii="Book Antiqua" w:hAnsi="Book Antiqua"/>
          <w:sz w:val="26"/>
          <w:szCs w:val="26"/>
          <w:lang w:val="en-ID"/>
        </w:rPr>
        <w:t>. This involves integrating environmental stewardship, social responsibility, and economic viability into all aspects of the institution's functioning</w:t>
      </w:r>
      <w:r w:rsidR="00B52D07" w:rsidRPr="00CC5505">
        <w:rPr>
          <w:rFonts w:ascii="Book Antiqua" w:hAnsi="Book Antiqua"/>
          <w:sz w:val="26"/>
          <w:szCs w:val="26"/>
          <w:lang w:val="en-ID"/>
        </w:rPr>
        <w:t xml:space="preserve"> </w:t>
      </w:r>
      <w:hyperlink w:anchor="Cebrián" w:history="1">
        <w:r w:rsidR="00B52D07" w:rsidRPr="00CC5505">
          <w:rPr>
            <w:rStyle w:val="Hyperlink"/>
            <w:rFonts w:ascii="Book Antiqua" w:hAnsi="Book Antiqua"/>
            <w:sz w:val="26"/>
            <w:szCs w:val="26"/>
            <w:u w:val="none"/>
            <w:lang w:val="en-ID"/>
          </w:rPr>
          <w:fldChar w:fldCharType="begin" w:fldLock="1"/>
        </w:r>
        <w:r w:rsidR="00B52D07" w:rsidRPr="00CC5505">
          <w:rPr>
            <w:rStyle w:val="Hyperlink"/>
            <w:rFonts w:ascii="Book Antiqua" w:hAnsi="Book Antiqua"/>
            <w:sz w:val="26"/>
            <w:szCs w:val="26"/>
            <w:u w:val="none"/>
            <w:lang w:val="en-ID"/>
          </w:rPr>
          <w:instrText>ADDIN CSL_CITATION {"citationItems":[{"id":"ITEM-1","itemData":{"DOI":"10.1108/SAMPJ-12-2012-0043","ISSN":"2040-8021","author":[{"dropping-particle":"","family":"Cebrián","given":"Gisela","non-dropping-particle":"","parse-names":false,"suffix":""},{"dropping-particle":"","family":"Grace","given":"Marcus","non-dropping-particle":"","parse-names":false,"suffix":""},{"dropping-particle":"","family":"Humphris","given":"Debra","non-dropping-particle":"","parse-names":false,"suffix":""}],"container-title":"Sustainability Accounting, Management and Policy Journal","editor":[{"dropping-particle":"","family":"Mader, Geoffrey Scott and Dzulkifli","given":"Clemens","non-dropping-particle":"","parse-names":false,"suffix":""}],"id":"ITEM-1","issue":"3","issued":{"date-parts":[["2013","11","18"]]},"page":"285-306","title":"Organisational Learning towards Sustainability in Higher Education","type":"article-journal","volume":"4"},"uris":["http://www.mendeley.com/documents/?uuid=032760c7-8613-403c-88da-7d044652505f"]}],"mendeley":{"formattedCitation":"(Cebrián et al., 2013)","plainTextFormattedCitation":"(Cebrián et al., 2013)","previouslyFormattedCitation":"(Cebrián et al., 2013)"},"properties":{"noteIndex":0},"schema":"https://github.com/citation-style-language/schema/raw/master/csl-citation.json"}</w:instrText>
        </w:r>
        <w:r w:rsidR="00B52D07" w:rsidRPr="00CC5505">
          <w:rPr>
            <w:rStyle w:val="Hyperlink"/>
            <w:rFonts w:ascii="Book Antiqua" w:hAnsi="Book Antiqua"/>
            <w:sz w:val="26"/>
            <w:szCs w:val="26"/>
            <w:u w:val="none"/>
            <w:lang w:val="en-ID"/>
          </w:rPr>
          <w:fldChar w:fldCharType="separate"/>
        </w:r>
        <w:r w:rsidR="00B52D07" w:rsidRPr="00CC5505">
          <w:rPr>
            <w:rStyle w:val="Hyperlink"/>
            <w:rFonts w:ascii="Book Antiqua" w:hAnsi="Book Antiqua"/>
            <w:noProof/>
            <w:sz w:val="26"/>
            <w:szCs w:val="26"/>
            <w:u w:val="none"/>
            <w:lang w:val="en-ID"/>
          </w:rPr>
          <w:t>(Cebrián et al., 2013)</w:t>
        </w:r>
        <w:r w:rsidR="00B52D07" w:rsidRPr="00CC5505">
          <w:rPr>
            <w:rStyle w:val="Hyperlink"/>
            <w:rFonts w:ascii="Book Antiqua" w:hAnsi="Book Antiqua"/>
            <w:sz w:val="26"/>
            <w:szCs w:val="26"/>
            <w:u w:val="none"/>
            <w:lang w:val="en-ID"/>
          </w:rPr>
          <w:fldChar w:fldCharType="end"/>
        </w:r>
      </w:hyperlink>
      <w:r w:rsidRPr="00CC5505">
        <w:rPr>
          <w:rFonts w:ascii="Book Antiqua" w:hAnsi="Book Antiqua"/>
          <w:sz w:val="26"/>
          <w:szCs w:val="26"/>
          <w:lang w:val="en-ID"/>
        </w:rPr>
        <w:t>.</w:t>
      </w:r>
    </w:p>
    <w:p w14:paraId="1D220C04" w14:textId="3F2A488A" w:rsidR="00BD6C0B" w:rsidRPr="00CC5505" w:rsidRDefault="00BD6C0B" w:rsidP="00E41129">
      <w:pPr>
        <w:spacing w:line="276" w:lineRule="auto"/>
        <w:ind w:firstLine="567"/>
        <w:jc w:val="both"/>
        <w:rPr>
          <w:rFonts w:ascii="Book Antiqua" w:hAnsi="Book Antiqua"/>
          <w:sz w:val="26"/>
          <w:szCs w:val="26"/>
          <w:lang w:val="en-ID"/>
        </w:rPr>
      </w:pPr>
      <w:r w:rsidRPr="00CC5505">
        <w:rPr>
          <w:rFonts w:ascii="Book Antiqua" w:hAnsi="Book Antiqua"/>
          <w:sz w:val="26"/>
          <w:szCs w:val="26"/>
          <w:lang w:val="en-ID"/>
        </w:rPr>
        <w:t xml:space="preserve">Despite growing recognition of Islamic education's vital role in shaping ethical and knowledgeable individuals, existing research reveals a notable gap in understanding how leadership effectiveness concretely influences sustainable development outcomes within this context </w:t>
      </w:r>
      <w:hyperlink w:anchor="Yang" w:history="1">
        <w:r w:rsidRPr="00CC5505">
          <w:rPr>
            <w:rStyle w:val="Hyperlink"/>
            <w:rFonts w:ascii="Book Antiqua" w:hAnsi="Book Antiqua"/>
            <w:sz w:val="26"/>
            <w:szCs w:val="26"/>
            <w:u w:val="none"/>
            <w:lang w:val="en-ID"/>
          </w:rPr>
          <w:fldChar w:fldCharType="begin" w:fldLock="1"/>
        </w:r>
        <w:r w:rsidRPr="00CC5505">
          <w:rPr>
            <w:rStyle w:val="Hyperlink"/>
            <w:rFonts w:ascii="Book Antiqua" w:hAnsi="Book Antiqua"/>
            <w:sz w:val="26"/>
            <w:szCs w:val="26"/>
            <w:u w:val="none"/>
            <w:lang w:val="en-ID"/>
          </w:rPr>
          <w:instrText>ADDIN CSL_CITATION {"citationItems":[{"id":"ITEM-1","itemData":{"DOI":"10.3390/su16051979","ISSN":"20711050 (ISSN)","abstract":"A circular economy is a concept of sustainable development that enhances a company’s image and influences consumers’ attitudes toward the corporation. Trust, commitment, and identification in relationship marketing are key factors for fostering long-term relationships. This study aimed to examine the relationship quality and attitudes between higher education students’ personal environmental perspectives and circular economy products, further investigating their impact on the purchase intention of circular economy products. Therefore, this research proposed and tested a theoretical framework that combined variables, including environmental concern, environmental awareness, relationship quality with circular economy products, and attitudes, to determine the influencing factors on higher education students’ purchase intention of circular economy products. This study adopted a survey design method and employed partial least squares structural equation modeling (PLS-SEM) to analyze data from 443 higher education students from Taiwan and Thailand. The results indicated that environmental awareness and environmental concern are critical antecedent factors for attitude and relationship quality (trust and identification) in circular economy products. In addition, trust and attitude in circular economy products have a significant impact on commitment. Furthermore, trust, commitment, and identification with circular economy products are crucial determining factors for the purchase intention of circular economy products. The findings contribute to a deeper understanding of the factors influencing higher education students’ purchase intention of circular economy products, thereby achieving the goal of environmental sustainability. © 2024 by the authors.","author":[{"dropping-particle":"","family":"Yang","given":"C.-H.","non-dropping-particle":"","parse-names":false,"suffix":""},{"dropping-particle":"","family":"Chuang","given":"M.-C.","non-dropping-particle":"","parse-names":false,"suffix":""},{"dropping-particle":"","family":"Chen","given":"D.-F.","non-dropping-particle":"","parse-names":false,"suffix":""}],"container-title":"Sustainability (Switzerland) ","id":"ITEM-1","issue":"5","issued":{"date-parts":[["2024"]]},"language":"English","note":"Export Date: 01 August 2024; Cited By: 0; Correspondence Address: M.-C. Chuang; Department of Business of Administration, National Taichung University of Science and Technology, Taichung, 404336, Taiwan; email: smk0416@gmail.com","publisher":"Multidisciplinary Digital Publishing Institute (MDPI)","publisher-place":"Department of Industrial Education and Technology, National Changhua University of Education, Changhua, 50007, Taiwan","title":"Role of Higher Education Students’ Environmental Awareness and Environmental Concern in the Purchase Intention of Circular Economy Products","type":"article-journal","volume":"16"},"uris":["http://www.mendeley.com/documents/?uuid=63549eeb-63a6-41e7-bc7d-76ea730dd284"]}],"mendeley":{"formattedCitation":"(Yang et al., 2024)","plainTextFormattedCitation":"(Yang et al., 2024)","previouslyFormattedCitation":"(Yang et al., 2024)"},"properties":{"noteIndex":0},"schema":"https://github.com/citation-style-language/schema/raw/master/csl-citation.json"}</w:instrText>
        </w:r>
        <w:r w:rsidRPr="00CC5505">
          <w:rPr>
            <w:rStyle w:val="Hyperlink"/>
            <w:rFonts w:ascii="Book Antiqua" w:hAnsi="Book Antiqua"/>
            <w:sz w:val="26"/>
            <w:szCs w:val="26"/>
            <w:u w:val="none"/>
            <w:lang w:val="en-ID"/>
          </w:rPr>
          <w:fldChar w:fldCharType="separate"/>
        </w:r>
        <w:r w:rsidRPr="00CC5505">
          <w:rPr>
            <w:rStyle w:val="Hyperlink"/>
            <w:rFonts w:ascii="Book Antiqua" w:hAnsi="Book Antiqua"/>
            <w:noProof/>
            <w:sz w:val="26"/>
            <w:szCs w:val="26"/>
            <w:u w:val="none"/>
            <w:lang w:val="en-ID"/>
          </w:rPr>
          <w:t>(Yang et al., 2024)</w:t>
        </w:r>
        <w:r w:rsidRPr="00CC5505">
          <w:rPr>
            <w:rStyle w:val="Hyperlink"/>
            <w:rFonts w:ascii="Book Antiqua" w:hAnsi="Book Antiqua"/>
            <w:sz w:val="26"/>
            <w:szCs w:val="26"/>
            <w:u w:val="none"/>
            <w:lang w:val="en-ID"/>
          </w:rPr>
          <w:fldChar w:fldCharType="end"/>
        </w:r>
      </w:hyperlink>
      <w:r w:rsidRPr="00CC5505">
        <w:rPr>
          <w:rFonts w:ascii="Book Antiqua" w:hAnsi="Book Antiqua"/>
          <w:sz w:val="26"/>
          <w:szCs w:val="26"/>
          <w:lang w:val="en-ID"/>
        </w:rPr>
        <w:t xml:space="preserve">. While studies abound on educational leadership and sustainability separately, the intersection—especially grounded in Islamic educational settings—remains underexplored, particularly concerning contextual leadership models that integrate both religious and developmental objectives </w:t>
      </w:r>
      <w:hyperlink w:anchor="Bashori" w:history="1">
        <w:r w:rsidRPr="00CC5505">
          <w:rPr>
            <w:rStyle w:val="Hyperlink"/>
            <w:rFonts w:ascii="Book Antiqua" w:hAnsi="Book Antiqua"/>
            <w:sz w:val="26"/>
            <w:szCs w:val="26"/>
            <w:u w:val="none"/>
            <w:lang w:val="en-ID"/>
          </w:rPr>
          <w:fldChar w:fldCharType="begin" w:fldLock="1"/>
        </w:r>
        <w:r w:rsidRPr="00CC5505">
          <w:rPr>
            <w:rStyle w:val="Hyperlink"/>
            <w:rFonts w:ascii="Book Antiqua" w:hAnsi="Book Antiqua"/>
            <w:sz w:val="26"/>
            <w:szCs w:val="26"/>
            <w:u w:val="none"/>
            <w:lang w:val="en-ID"/>
          </w:rPr>
          <w:instrText>ADDIN CSL_CITATION {"citationItems":[{"id":"ITEM-1","itemData":{"DOI":"10.15548/jt.v28i2.666","ISSN":"2355-7893","abstract":"In Aceh Province, Dayah Perbatasan Darul Amin is an Islamic Boarding school institution that has twice had achievement as the cleanest and healthiest boarding school as part of adiwiyata-based education institution concept. Such achievement by the Islamic boarding school can inspire and terminate a syndrome that a boarding house is a slump, dirty and unhealthy place. Also, it can change the public paradigm that boarding school is a very representative place to study. This research analyzes the Islamic boarding school management model in implementing the adiwiyata concept through participative leadership. The research approach paradigm is the qualitative one. The research used a diary method (DM). This article is an experience of Darul Amin Islamic Boarding School in implementing the adiwiyata program by implementing an effective Islamic boarding school. Results of the research show that adiwiyata program management is conducted through participative leadership, namely (1) formulation of adiwiyata Islamic boarding school, (2) building intern consolidation, (3) implementation of cleanliness management, (4) procurement of necessary infrastructure, (5) program evaluation and (6) organizational development. All elements' active contribution in realizing the adiwiyata Islamic boarding school can improve students' characteristics to live clean and love their environment. The participative leadership of the Kyai is proven to be able to improve the effectiveness of adiwiyata Islamic boarding school management.","author":[{"dropping-particle":"","family":"Bashori","given":"Bashori","non-dropping-particle":"","parse-names":false,"suffix":""},{"dropping-particle":"","family":"Manumanoso Prasetyo","given":"Muhammad Anggung","non-dropping-particle":"","parse-names":false,"suffix":""},{"dropping-particle":"","family":"Rahmi","given":"Auliya","non-dropping-particle":"","parse-names":false,"suffix":""}],"container-title":"Al-Ta lim Journal","id":"ITEM-1","issue":"2","issued":{"date-parts":[["2021","7","31"]]},"page":"104-116","title":"The Adiwiyata Islamic Boarding School Management (A Study of Participatory Leadership Style)","type":"article-journal","volume":"28"},"uris":["http://www.mendeley.com/documents/?uuid=58a466c8-2b4b-4049-b4ad-ece00c75427d"]}],"mendeley":{"formattedCitation":"(Bashori et al., 2021)","plainTextFormattedCitation":"(Bashori et al., 2021)","previouslyFormattedCitation":"(Bashori et al., 2021)"},"properties":{"noteIndex":0},"schema":"https://github.com/citation-style-language/schema/raw/master/csl-citation.json"}</w:instrText>
        </w:r>
        <w:r w:rsidRPr="00CC5505">
          <w:rPr>
            <w:rStyle w:val="Hyperlink"/>
            <w:rFonts w:ascii="Book Antiqua" w:hAnsi="Book Antiqua"/>
            <w:sz w:val="26"/>
            <w:szCs w:val="26"/>
            <w:u w:val="none"/>
            <w:lang w:val="en-ID"/>
          </w:rPr>
          <w:fldChar w:fldCharType="separate"/>
        </w:r>
        <w:r w:rsidRPr="00CC5505">
          <w:rPr>
            <w:rStyle w:val="Hyperlink"/>
            <w:rFonts w:ascii="Book Antiqua" w:hAnsi="Book Antiqua"/>
            <w:noProof/>
            <w:sz w:val="26"/>
            <w:szCs w:val="26"/>
            <w:u w:val="none"/>
            <w:lang w:val="en-ID"/>
          </w:rPr>
          <w:t>(Bashori et al., 2021)</w:t>
        </w:r>
        <w:r w:rsidRPr="00CC5505">
          <w:rPr>
            <w:rStyle w:val="Hyperlink"/>
            <w:rFonts w:ascii="Book Antiqua" w:hAnsi="Book Antiqua"/>
            <w:sz w:val="26"/>
            <w:szCs w:val="26"/>
            <w:u w:val="none"/>
            <w:lang w:val="en-ID"/>
          </w:rPr>
          <w:fldChar w:fldCharType="end"/>
        </w:r>
      </w:hyperlink>
      <w:r w:rsidRPr="00CC5505">
        <w:rPr>
          <w:rFonts w:ascii="Book Antiqua" w:hAnsi="Book Antiqua"/>
          <w:sz w:val="26"/>
          <w:szCs w:val="26"/>
          <w:lang w:val="en-ID"/>
        </w:rPr>
        <w:t>.</w:t>
      </w:r>
    </w:p>
    <w:p w14:paraId="1CF52BA0" w14:textId="2D7AE6C5" w:rsidR="00C7400F" w:rsidRPr="00CC5505" w:rsidRDefault="00C7400F" w:rsidP="00E41129">
      <w:pPr>
        <w:spacing w:line="276" w:lineRule="auto"/>
        <w:ind w:firstLine="567"/>
        <w:jc w:val="both"/>
        <w:rPr>
          <w:rFonts w:ascii="Book Antiqua" w:hAnsi="Book Antiqua"/>
          <w:sz w:val="26"/>
          <w:szCs w:val="26"/>
          <w:lang w:val="en-ID"/>
        </w:rPr>
      </w:pPr>
      <w:r w:rsidRPr="00CC5505">
        <w:rPr>
          <w:rFonts w:ascii="Book Antiqua" w:hAnsi="Book Antiqua"/>
          <w:sz w:val="26"/>
          <w:szCs w:val="26"/>
          <w:lang w:val="en-ID"/>
        </w:rPr>
        <w:t>Projects within educational institutions provide a platform for implementing sustainable initiatives. From infrastructure development to curriculum design, projects can be designed and executed with sustainability in mind</w:t>
      </w:r>
      <w:r w:rsidR="00BD6C0B" w:rsidRPr="00CC5505">
        <w:rPr>
          <w:rFonts w:ascii="Book Antiqua" w:hAnsi="Book Antiqua"/>
          <w:sz w:val="26"/>
          <w:szCs w:val="26"/>
          <w:lang w:val="en-ID"/>
        </w:rPr>
        <w:t xml:space="preserve"> </w:t>
      </w:r>
      <w:hyperlink w:anchor="Joshi" w:history="1">
        <w:r w:rsidR="00BD6C0B" w:rsidRPr="00CC5505">
          <w:rPr>
            <w:rStyle w:val="Hyperlink"/>
            <w:rFonts w:ascii="Book Antiqua" w:hAnsi="Book Antiqua"/>
            <w:sz w:val="26"/>
            <w:szCs w:val="26"/>
            <w:u w:val="none"/>
            <w:lang w:val="en-ID"/>
          </w:rPr>
          <w:fldChar w:fldCharType="begin" w:fldLock="1"/>
        </w:r>
        <w:r w:rsidR="00BD6C0B" w:rsidRPr="00CC5505">
          <w:rPr>
            <w:rStyle w:val="Hyperlink"/>
            <w:rFonts w:ascii="Book Antiqua" w:hAnsi="Book Antiqua"/>
            <w:sz w:val="26"/>
            <w:szCs w:val="26"/>
            <w:u w:val="none"/>
            <w:lang w:val="en-ID"/>
          </w:rPr>
          <w:instrText>ADDIN CSL_CITATION {"citationItems":[{"id":"ITEM-1","itemData":{"DOI":"10.1177/2455133321994210","ISSN":"2455-1333","abstract":"Emerging Asian economies are at the cusp of marking a structural shift from being factor driven to the one driven by efficiency. This is translated into their actions towards strategising their growth drivers so as to achieve factor-based efficiency through industrial infrastructure creation, namely MSME clusters, economic corridors, economic cities, infrastructure enablers and logistics hub. While the traditional tenets of competitiveness are based on building competitive advantage in manufacturing of certain products and their integration in the global value chain, this article builds upon the concept of competitiveness as a function of its constituent pillars as defined by the World Economic Forum. The objective of this article is to present a holistic view on the constituent pillars of competitiveness that have contributed maximum to the increased per capita GDP and trade for East Asian economies. Through an examination of select countries as case studies and studying their development through time, this article presents policymakers with strategies that can be used for designing manufacturing development strategy for emerging economies.","author":[{"dropping-particle":"","family":"Joshi","given":"Jyotsna","non-dropping-particle":"","parse-names":false,"suffix":""}],"container-title":"Journal of Development Policy and Practice","id":"ITEM-1","issue":"1","issued":{"date-parts":[["2021","1","30"]]},"page":"78-107","title":"Competitiveness, Manufacturing and Infrastructure: The Asian Paradigm","type":"article-journal","volume":"6"},"uris":["http://www.mendeley.com/documents/?uuid=5777e3a5-9e4e-4dd7-878b-ca8e1e5392ee"]}],"mendeley":{"formattedCitation":"(Joshi, 2021)","plainTextFormattedCitation":"(Joshi, 2021)","previouslyFormattedCitation":"(Joshi, 2021)"},"properties":{"noteIndex":0},"schema":"https://github.com/citation-style-language/schema/raw/master/csl-citation.json"}</w:instrText>
        </w:r>
        <w:r w:rsidR="00BD6C0B" w:rsidRPr="00CC5505">
          <w:rPr>
            <w:rStyle w:val="Hyperlink"/>
            <w:rFonts w:ascii="Book Antiqua" w:hAnsi="Book Antiqua"/>
            <w:sz w:val="26"/>
            <w:szCs w:val="26"/>
            <w:u w:val="none"/>
            <w:lang w:val="en-ID"/>
          </w:rPr>
          <w:fldChar w:fldCharType="separate"/>
        </w:r>
        <w:r w:rsidR="00BD6C0B" w:rsidRPr="00CC5505">
          <w:rPr>
            <w:rStyle w:val="Hyperlink"/>
            <w:rFonts w:ascii="Book Antiqua" w:hAnsi="Book Antiqua"/>
            <w:noProof/>
            <w:sz w:val="26"/>
            <w:szCs w:val="26"/>
            <w:u w:val="none"/>
            <w:lang w:val="en-ID"/>
          </w:rPr>
          <w:t>(Joshi, 2021)</w:t>
        </w:r>
        <w:r w:rsidR="00BD6C0B" w:rsidRPr="00CC5505">
          <w:rPr>
            <w:rStyle w:val="Hyperlink"/>
            <w:rFonts w:ascii="Book Antiqua" w:hAnsi="Book Antiqua"/>
            <w:sz w:val="26"/>
            <w:szCs w:val="26"/>
            <w:u w:val="none"/>
            <w:lang w:val="en-ID"/>
          </w:rPr>
          <w:fldChar w:fldCharType="end"/>
        </w:r>
      </w:hyperlink>
      <w:r w:rsidRPr="00CC5505">
        <w:rPr>
          <w:rFonts w:ascii="Book Antiqua" w:hAnsi="Book Antiqua"/>
          <w:sz w:val="26"/>
          <w:szCs w:val="26"/>
          <w:lang w:val="en-ID"/>
        </w:rPr>
        <w:t>. For example, construction projects can prioritize energy efficiency and use of renewable materials, while curriculum development projects can integrate sustainability-focused subjects and experiential learning opportunities</w:t>
      </w:r>
      <w:r w:rsidR="00B52D07" w:rsidRPr="00CC5505">
        <w:rPr>
          <w:rFonts w:ascii="Book Antiqua" w:hAnsi="Book Antiqua"/>
          <w:sz w:val="26"/>
          <w:szCs w:val="26"/>
          <w:lang w:val="en-ID"/>
        </w:rPr>
        <w:t xml:space="preserve"> </w:t>
      </w:r>
      <w:hyperlink w:anchor="Martin" w:history="1">
        <w:r w:rsidR="00B52D07" w:rsidRPr="00CC5505">
          <w:rPr>
            <w:rStyle w:val="Hyperlink"/>
            <w:rFonts w:ascii="Book Antiqua" w:hAnsi="Book Antiqua"/>
            <w:sz w:val="26"/>
            <w:szCs w:val="26"/>
            <w:u w:val="none"/>
            <w:lang w:val="en-ID"/>
          </w:rPr>
          <w:fldChar w:fldCharType="begin" w:fldLock="1"/>
        </w:r>
        <w:r w:rsidR="00B52D07" w:rsidRPr="00CC5505">
          <w:rPr>
            <w:rStyle w:val="Hyperlink"/>
            <w:rFonts w:ascii="Book Antiqua" w:hAnsi="Book Antiqua"/>
            <w:sz w:val="26"/>
            <w:szCs w:val="26"/>
            <w:u w:val="none"/>
            <w:lang w:val="en-ID"/>
          </w:rPr>
          <w:instrText>ADDIN CSL_CITATION {"citationItems":[{"id":"ITEM-1","itemData":{"DOI":"10.1080/00139157.2020.1820294","ISSN":"0013-9157","author":[{"dropping-particle":"","family":"Martin","given":"Adrian","non-dropping-particle":"","parse-names":false,"suffix":""},{"dropping-particle":"","family":"Armijos","given":"M. Teresa","non-dropping-particle":"","parse-names":false,"suffix":""},{"dropping-particle":"","family":"Coolsaet","given":"Brendan","non-dropping-particle":"","parse-names":false,"suffix":""},{"dropping-particle":"","family":"Dawson","given":"Neil","non-dropping-particle":"","parse-names":false,"suffix":""},{"dropping-particle":"","family":"A. S. Edwards","given":"Gareth","non-dropping-particle":"","parse-names":false,"suffix":""},{"dropping-particle":"","family":"Few","given":"Roger","non-dropping-particle":"","parse-names":false,"suffix":""},{"dropping-particle":"","family":"Gross-Camp","given":"Nicole","non-dropping-particle":"","parse-names":false,"suffix":""},{"dropping-particle":"","family":"Rodriguez","given":"Iokiñe","non-dropping-particle":"","parse-names":false,"suffix":""},{"dropping-particle":"","family":"Schroeder","given":"Heike","non-dropping-particle":"","parse-names":false,"suffix":""},{"dropping-particle":"","family":"G. L. Tebboth","given":"Mark","non-dropping-particle":"","parse-names":false,"suffix":""},{"dropping-particle":"","family":"White","given":"Carole S.","non-dropping-particle":"","parse-names":false,"suffix":""},{"dropping-particle":"","family":"...","given":"","non-dropping-particle":"","parse-names":false,"suffix":""}],"container-title":"Environment: Science and Policy for Sustainable Development","id":"ITEM-1","issue":"6","issued":{"date-parts":[["2020","11","1"]]},"page":"19-30","title":"Environmental Justice and Transformations to Sustainability","type":"article-journal","volume":"62"},"uris":["http://www.mendeley.com/documents/?uuid=f4af4ccc-0d79-4174-b861-3de54fe533b4"]}],"mendeley":{"formattedCitation":"(Martin et al., 2020)","plainTextFormattedCitation":"(Martin et al., 2020)","previouslyFormattedCitation":"(Martin et al., 2020)"},"properties":{"noteIndex":0},"schema":"https://github.com/citation-style-language/schema/raw/master/csl-citation.json"}</w:instrText>
        </w:r>
        <w:r w:rsidR="00B52D07" w:rsidRPr="00CC5505">
          <w:rPr>
            <w:rStyle w:val="Hyperlink"/>
            <w:rFonts w:ascii="Book Antiqua" w:hAnsi="Book Antiqua"/>
            <w:sz w:val="26"/>
            <w:szCs w:val="26"/>
            <w:u w:val="none"/>
            <w:lang w:val="en-ID"/>
          </w:rPr>
          <w:fldChar w:fldCharType="separate"/>
        </w:r>
        <w:r w:rsidR="00B52D07" w:rsidRPr="00CC5505">
          <w:rPr>
            <w:rStyle w:val="Hyperlink"/>
            <w:rFonts w:ascii="Book Antiqua" w:hAnsi="Book Antiqua"/>
            <w:noProof/>
            <w:sz w:val="26"/>
            <w:szCs w:val="26"/>
            <w:u w:val="none"/>
            <w:lang w:val="en-ID"/>
          </w:rPr>
          <w:t>(Martin et al., 2020)</w:t>
        </w:r>
        <w:r w:rsidR="00B52D07" w:rsidRPr="00CC5505">
          <w:rPr>
            <w:rStyle w:val="Hyperlink"/>
            <w:rFonts w:ascii="Book Antiqua" w:hAnsi="Book Antiqua"/>
            <w:sz w:val="26"/>
            <w:szCs w:val="26"/>
            <w:u w:val="none"/>
            <w:lang w:val="en-ID"/>
          </w:rPr>
          <w:fldChar w:fldCharType="end"/>
        </w:r>
      </w:hyperlink>
      <w:r w:rsidRPr="00CC5505">
        <w:rPr>
          <w:rFonts w:ascii="Book Antiqua" w:hAnsi="Book Antiqua"/>
          <w:sz w:val="26"/>
          <w:szCs w:val="26"/>
          <w:lang w:val="en-ID"/>
        </w:rPr>
        <w:t>.</w:t>
      </w:r>
    </w:p>
    <w:p w14:paraId="04976AF3" w14:textId="31C2A8F6" w:rsidR="00C7400F" w:rsidRPr="00CC5505" w:rsidRDefault="00691CE5" w:rsidP="00CC5505">
      <w:pPr>
        <w:spacing w:line="276" w:lineRule="auto"/>
        <w:ind w:firstLine="567"/>
        <w:jc w:val="both"/>
        <w:rPr>
          <w:rFonts w:ascii="Book Antiqua" w:hAnsi="Book Antiqua"/>
          <w:sz w:val="26"/>
          <w:szCs w:val="26"/>
          <w:lang w:val="en-ID"/>
        </w:rPr>
      </w:pPr>
      <w:r w:rsidRPr="00CC5505">
        <w:rPr>
          <w:rFonts w:ascii="Book Antiqua" w:hAnsi="Book Antiqua"/>
          <w:sz w:val="26"/>
          <w:szCs w:val="26"/>
          <w:lang w:val="en-ID"/>
        </w:rPr>
        <w:t>T</w:t>
      </w:r>
      <w:r w:rsidR="00C7400F" w:rsidRPr="00CC5505">
        <w:rPr>
          <w:rFonts w:ascii="Book Antiqua" w:hAnsi="Book Antiqua"/>
          <w:sz w:val="26"/>
          <w:szCs w:val="26"/>
          <w:lang w:val="en-ID"/>
        </w:rPr>
        <w:t>he relationship between schools and sustainability extends beyond individual projects. It encompasses a broader strategic approach to organizational leadership</w:t>
      </w:r>
      <w:r w:rsidR="00BD6C0B" w:rsidRPr="00CC5505">
        <w:rPr>
          <w:rFonts w:ascii="Book Antiqua" w:hAnsi="Book Antiqua"/>
          <w:sz w:val="26"/>
          <w:szCs w:val="26"/>
          <w:lang w:val="en-ID"/>
        </w:rPr>
        <w:t xml:space="preserve"> </w:t>
      </w:r>
      <w:hyperlink w:anchor="Sudarsono" w:history="1">
        <w:r w:rsidR="00BD6C0B" w:rsidRPr="00CC5505">
          <w:rPr>
            <w:rStyle w:val="Hyperlink"/>
            <w:rFonts w:ascii="Book Antiqua" w:hAnsi="Book Antiqua"/>
            <w:sz w:val="26"/>
            <w:szCs w:val="26"/>
            <w:u w:val="none"/>
            <w:lang w:val="en-ID"/>
          </w:rPr>
          <w:fldChar w:fldCharType="begin" w:fldLock="1"/>
        </w:r>
        <w:r w:rsidR="00877B1B" w:rsidRPr="00CC5505">
          <w:rPr>
            <w:rStyle w:val="Hyperlink"/>
            <w:rFonts w:ascii="Book Antiqua" w:hAnsi="Book Antiqua"/>
            <w:sz w:val="26"/>
            <w:szCs w:val="26"/>
            <w:u w:val="none"/>
            <w:lang w:val="en-ID"/>
          </w:rPr>
          <w:instrText>ADDIN CSL_CITATION {"citationItems":[{"id":"ITEM-1","itemData":{"DOI":"10.47766/idarah.v8i1.1381","ISSN":"2656-8012","abstract":"This research aims to analyze the implementation of the concept of green pesantren conducted at Nurul Jadid Islamic Boarding School in Buleleng, Bali. The study depicts the participation of the Hindu community around the pesantren in the green pesantren program at Nurul Jadid Islamic Boarding School in Buleleng, Bali. It covers how the pesantren strives to build relationships with the Hindu community around it and how the Hindu community participates in the green pesantren program. The research method used is qualitative phenomenological research, which aims to explore and understand meanings. Data were collected through interviews, observations, and documentation processes. The research findings also undermine the stigma that pesantren are radical by showing their moderation. This relational aspect is based on the natural relationship between the pesantren and Hindu communities around it, which was initiated by its founder from its inception. Another aspect of this relationship is demonstrated by consultative functions of management in addressing various societal issues regardless of religious background. The active participation of the Hindu community around the pesantren in the green pesantren program stems from shared universal values regarding environmental preservation. The close relationship between the pesantren and surrounding Hindu communities is influenced by historical factors that are continuously socialized. Additionally, there are activities within this context that hold universal values.","author":[{"dropping-particle":"","family":"Sudarsono","given":"Sudarsono","non-dropping-particle":"","parse-names":false,"suffix":""},{"dropping-particle":"","family":"Muaddin","given":"Akhmad","non-dropping-particle":"","parse-names":false,"suffix":""}],"container-title":"Idarah (Jurnal Pendidikan dan Kependidikan)","id":"ITEM-1","issue":"1","issued":{"date-parts":[["2024","6","30"]]},"page":"1-12","title":"Green Pesantren Leadership: Shaping a Moderate Society for Environmental Conservation","type":"article-journal","volume":"8"},"uris":["http://www.mendeley.com/documents/?uuid=582e624a-d1a6-499b-9fce-1896ec994522"]}],"mendeley":{"formattedCitation":"(Sudarsono &amp; Muaddin, 2024)","plainTextFormattedCitation":"(Sudarsono &amp; Muaddin, 2024)","previouslyFormattedCitation":"(Sudarsono &amp; Muaddin, 2024)"},"properties":{"noteIndex":0},"schema":"https://github.com/citation-style-language/schema/raw/master/csl-citation.json"}</w:instrText>
        </w:r>
        <w:r w:rsidR="00BD6C0B" w:rsidRPr="00CC5505">
          <w:rPr>
            <w:rStyle w:val="Hyperlink"/>
            <w:rFonts w:ascii="Book Antiqua" w:hAnsi="Book Antiqua"/>
            <w:sz w:val="26"/>
            <w:szCs w:val="26"/>
            <w:u w:val="none"/>
            <w:lang w:val="en-ID"/>
          </w:rPr>
          <w:fldChar w:fldCharType="separate"/>
        </w:r>
        <w:r w:rsidR="00BD6C0B" w:rsidRPr="00CC5505">
          <w:rPr>
            <w:rStyle w:val="Hyperlink"/>
            <w:rFonts w:ascii="Book Antiqua" w:hAnsi="Book Antiqua"/>
            <w:noProof/>
            <w:sz w:val="26"/>
            <w:szCs w:val="26"/>
            <w:u w:val="none"/>
            <w:lang w:val="en-ID"/>
          </w:rPr>
          <w:t>(Sudarsono &amp; Muaddin, 2024)</w:t>
        </w:r>
        <w:r w:rsidR="00BD6C0B" w:rsidRPr="00CC5505">
          <w:rPr>
            <w:rStyle w:val="Hyperlink"/>
            <w:rFonts w:ascii="Book Antiqua" w:hAnsi="Book Antiqua"/>
            <w:sz w:val="26"/>
            <w:szCs w:val="26"/>
            <w:u w:val="none"/>
            <w:lang w:val="en-ID"/>
          </w:rPr>
          <w:fldChar w:fldCharType="end"/>
        </w:r>
      </w:hyperlink>
      <w:r w:rsidR="00C7400F" w:rsidRPr="00CC5505">
        <w:rPr>
          <w:rFonts w:ascii="Book Antiqua" w:hAnsi="Book Antiqua"/>
          <w:sz w:val="26"/>
          <w:szCs w:val="26"/>
          <w:lang w:val="en-ID"/>
        </w:rPr>
        <w:t>. Educational leaders are increasingly recognizing that sustainability should be embedded into the core values, vision, and mission of the institution</w:t>
      </w:r>
      <w:r w:rsidR="00B52D07" w:rsidRPr="00CC5505">
        <w:rPr>
          <w:rFonts w:ascii="Book Antiqua" w:hAnsi="Book Antiqua"/>
          <w:sz w:val="26"/>
          <w:szCs w:val="26"/>
          <w:lang w:val="en-ID"/>
        </w:rPr>
        <w:t xml:space="preserve"> </w:t>
      </w:r>
      <w:r w:rsidR="00B52D07" w:rsidRPr="00CC5505">
        <w:rPr>
          <w:rFonts w:ascii="Book Antiqua" w:hAnsi="Book Antiqua"/>
          <w:sz w:val="26"/>
          <w:szCs w:val="26"/>
          <w:lang w:val="en-ID"/>
        </w:rPr>
        <w:fldChar w:fldCharType="begin" w:fldLock="1"/>
      </w:r>
      <w:r w:rsidR="00B52D07" w:rsidRPr="00CC5505">
        <w:rPr>
          <w:rFonts w:ascii="Book Antiqua" w:hAnsi="Book Antiqua"/>
          <w:sz w:val="26"/>
          <w:szCs w:val="26"/>
          <w:lang w:val="en-ID"/>
        </w:rPr>
        <w:instrText>ADDIN CSL_CITATION {"citationItems":[{"id":"ITEM-1","itemData":{"DOI":"10.1007/s12647-022-00541-w","ISSN":"0970-3950","abstract":"In the present area, the outbreak of COVID-19, customer behavior have been seen toward their individual specific need, which encourages advanced-manufacturing industries to provide mass personalization of goods and services. The Covid-19 crises bring opportunities for industries and service providers to enhance their capability for a fault-free environment, zero failure, anti-fragile, and improve production capacity. The present paper provides an overview of the sustainability of Industry 6.0 in a global perspective with vision, objective, and transformation of Industrial Revolutions. The sole aim of industry 6.0 is to seizure the new technologies, which can be applied worldwide and deliver wealth, prosperity away from the job and provide growth to nations across all planetary boundaries. This revolution would promote living harmony with nature, support the principle of sustainability where technology would not be a thing, and promote the human virtual digital twin where all can simultaneously see physical goods and virtual product information.","author":[{"dropping-particle":"","family":"Chourasia","given":"Shubhangi","non-dropping-particle":"","parse-names":false,"suffix":""},{"dropping-particle":"","family":"Tyagi","given":"Ankit","non-dropping-particle":"","parse-names":false,"suffix":""},{"dropping-particle":"","family":"Pandey","given":"S. M.","non-dropping-particle":"","parse-names":false,"suffix":""},{"dropping-particle":"","family":"Walia","given":"R. S.","non-dropping-particle":"","parse-names":false,"suffix":""},{"dropping-particle":"","family":"Murtaza","given":"Qasim","non-dropping-particle":"","parse-names":false,"suffix":""}],"container-title":"MAPAN","id":"ITEM-1","issue":"2","issued":{"date-parts":[["2022","6","9"]]},"page":"443-452","title":"Sustainability of Industry 6.0 in Global Perspective: Benefits and Challenges","type":"article-journal","volume":"37"},"uris":["http://www.mendeley.com/documents/?uuid=ff14d55c-c218-4714-967e-fbd7dbaa2a23"]},{"id":"ITEM-2","itemData":{"DOI":"10.1016/j.jclepro.2015.08.100","ISSN":"09596526","abstract":"The role of higher education institutions in the transition to a more sustainable society has been highlighted for almost three decades and the role of environmental management accounting and control in that process of change has also drawn the attention of accounting researchers. By focusing on micro/internal processes within two universities, this paper seeks to examine the multiple roles of campus sustainability assessments in organizational change and to identify the change agents behind the development of this management control system. The findings suggest that sustainability campus assessment is a social construction emerging from the interaction of different stakeholders that requires change agents to create alliances with internal and external stakeholder groups to get institutional support and to trigger the organizational change process. Moreover, the social construction characteristic is useful to understand the existence of multiple roles of campus sustainability assessments in these institutions. The main contribution of the study is thus to propose a new taxonomy for examining the role of campus sustainability assessment in organizational change. These roles are called reflecting, monitoring and planning, comparing and legitimizing.","author":[{"dropping-particle":"","family":"Arroyo","given":"Paulina","non-dropping-particle":"","parse-names":false,"suffix":""}],"container-title":"Journal of Cleaner Production","id":"ITEM-2","issued":{"date-parts":[["2017","1"]]},"page":"1763-1774","title":"A New Taxonomy for Examining The Multi-Role of Campus Sustainability Assessments in Organizational Change","type":"article-journal","volume":"140"},"uris":["http://www.mendeley.com/documents/?uuid=f92b9161-0be1-4494-a3ce-2bb55b331918"]}],"mendeley":{"formattedCitation":"(Arroyo, 2017; Chourasia et al., 2022)","plainTextFormattedCitation":"(Arroyo, 2017; Chourasia et al., 2022)","previouslyFormattedCitation":"(Arroyo, 2017; Chourasia et al., 2022)"},"properties":{"noteIndex":0},"schema":"https://github.com/citation-style-language/schema/raw/master/csl-citation.json"}</w:instrText>
      </w:r>
      <w:r w:rsidR="00B52D07" w:rsidRPr="00CC5505">
        <w:rPr>
          <w:rFonts w:ascii="Book Antiqua" w:hAnsi="Book Antiqua"/>
          <w:sz w:val="26"/>
          <w:szCs w:val="26"/>
          <w:lang w:val="en-ID"/>
        </w:rPr>
        <w:fldChar w:fldCharType="separate"/>
      </w:r>
      <w:hyperlink w:anchor="Arroyo" w:history="1">
        <w:r w:rsidR="00B52D07" w:rsidRPr="00CC5505">
          <w:rPr>
            <w:rStyle w:val="Hyperlink"/>
            <w:rFonts w:ascii="Book Antiqua" w:hAnsi="Book Antiqua"/>
            <w:noProof/>
            <w:sz w:val="26"/>
            <w:szCs w:val="26"/>
            <w:u w:val="none"/>
            <w:lang w:val="en-ID"/>
          </w:rPr>
          <w:t>(Arroyo, 2017;</w:t>
        </w:r>
      </w:hyperlink>
      <w:r w:rsidR="00B52D07" w:rsidRPr="00CC5505">
        <w:rPr>
          <w:rFonts w:ascii="Book Antiqua" w:hAnsi="Book Antiqua"/>
          <w:noProof/>
          <w:sz w:val="26"/>
          <w:szCs w:val="26"/>
          <w:lang w:val="en-ID"/>
        </w:rPr>
        <w:t xml:space="preserve"> </w:t>
      </w:r>
      <w:hyperlink w:anchor="Chourasia" w:history="1">
        <w:r w:rsidR="00B52D07" w:rsidRPr="00CC5505">
          <w:rPr>
            <w:rStyle w:val="Hyperlink"/>
            <w:rFonts w:ascii="Book Antiqua" w:hAnsi="Book Antiqua"/>
            <w:noProof/>
            <w:sz w:val="26"/>
            <w:szCs w:val="26"/>
            <w:u w:val="none"/>
            <w:lang w:val="en-ID"/>
          </w:rPr>
          <w:t>Chourasia et al., 2022)</w:t>
        </w:r>
      </w:hyperlink>
      <w:r w:rsidR="00B52D07" w:rsidRPr="00CC5505">
        <w:rPr>
          <w:rFonts w:ascii="Book Antiqua" w:hAnsi="Book Antiqua"/>
          <w:sz w:val="26"/>
          <w:szCs w:val="26"/>
          <w:lang w:val="en-ID"/>
        </w:rPr>
        <w:fldChar w:fldCharType="end"/>
      </w:r>
      <w:r w:rsidR="00C7400F" w:rsidRPr="00CC5505">
        <w:rPr>
          <w:rFonts w:ascii="Book Antiqua" w:hAnsi="Book Antiqua"/>
          <w:sz w:val="26"/>
          <w:szCs w:val="26"/>
          <w:lang w:val="en-ID"/>
        </w:rPr>
        <w:t>. This requires fostering a culture of sustainability, promoting interdisciplinary collaboration, and engaging stakeholders at all levels</w:t>
      </w:r>
      <w:r w:rsidR="00B52D07" w:rsidRPr="00CC5505">
        <w:rPr>
          <w:rFonts w:ascii="Book Antiqua" w:hAnsi="Book Antiqua"/>
          <w:sz w:val="26"/>
          <w:szCs w:val="26"/>
          <w:lang w:val="en-ID"/>
        </w:rPr>
        <w:t xml:space="preserve"> </w:t>
      </w:r>
      <w:r w:rsidR="00B52D07" w:rsidRPr="00CC5505">
        <w:rPr>
          <w:rFonts w:ascii="Book Antiqua" w:hAnsi="Book Antiqua"/>
          <w:sz w:val="26"/>
          <w:szCs w:val="26"/>
          <w:lang w:val="en-ID"/>
        </w:rPr>
        <w:fldChar w:fldCharType="begin" w:fldLock="1"/>
      </w:r>
      <w:r w:rsidR="00BD6C0B" w:rsidRPr="00CC5505">
        <w:rPr>
          <w:rFonts w:ascii="Book Antiqua" w:hAnsi="Book Antiqua"/>
          <w:sz w:val="26"/>
          <w:szCs w:val="26"/>
          <w:lang w:val="en-ID"/>
        </w:rPr>
        <w:instrText>ADDIN CSL_CITATION {"citationItems":[{"id":"ITEM-1","itemData":{"DOI":"10.1108/09696471111096000","ISSN":"0969-6474","abstract":"Purpose The purpose of this research is to explore core contributions from two different approaches to complexity management in organisations aiming to improve their sustainability,: the Viable Systems Model (VSM), and the Complex Adaptive Systems (CAS). It is proposed to perform this by summarising the main insights each approach offers to understanding organisational transformations aiming to improve sustainability; and by presenting examples of applied research on each case and reflecting on the learning emerging from them. Design/methodology/approach An action science approach was followed: the conceptual framework used in each case was first presented, which then illustrates its application through a case study; at the first one the VSM framework supports an organisational transformation towards sustainability in a community; the second one is a quantitative case study of intended greening of two firms in the supermarket industry, taken from a CAS perspective. The learning from each case study on how they support/explain organisational learning in transformations towards more sustainable organisations was illustrated. Findings It wase found that the VSM and the CAS approaches offer internally consistent and complementary insights to address issues of self</w:instrText>
      </w:r>
      <w:r w:rsidR="00BD6C0B" w:rsidRPr="00CC5505">
        <w:rPr>
          <w:rFonts w:ascii="Cambria Math" w:hAnsi="Cambria Math" w:cs="Cambria Math"/>
          <w:sz w:val="26"/>
          <w:szCs w:val="26"/>
          <w:lang w:val="en-ID"/>
        </w:rPr>
        <w:instrText>‐</w:instrText>
      </w:r>
      <w:r w:rsidR="00BD6C0B" w:rsidRPr="00CC5505">
        <w:rPr>
          <w:rFonts w:ascii="Book Antiqua" w:hAnsi="Book Antiqua"/>
          <w:sz w:val="26"/>
          <w:szCs w:val="26"/>
          <w:lang w:val="en-ID"/>
        </w:rPr>
        <w:instrText>organisation and adaptive management for sustainability improvement: while CAS explains empowerment of bottom</w:instrText>
      </w:r>
      <w:r w:rsidR="00BD6C0B" w:rsidRPr="00CC5505">
        <w:rPr>
          <w:rFonts w:ascii="Cambria Math" w:hAnsi="Cambria Math" w:cs="Cambria Math"/>
          <w:sz w:val="26"/>
          <w:szCs w:val="26"/>
          <w:lang w:val="en-ID"/>
        </w:rPr>
        <w:instrText>‐</w:instrText>
      </w:r>
      <w:r w:rsidR="00BD6C0B" w:rsidRPr="00CC5505">
        <w:rPr>
          <w:rFonts w:ascii="Book Antiqua" w:hAnsi="Book Antiqua"/>
          <w:sz w:val="26"/>
          <w:szCs w:val="26"/>
          <w:lang w:val="en-ID"/>
        </w:rPr>
        <w:instrText>up learning processes in organisations, VSM enables a learning context where self</w:instrText>
      </w:r>
      <w:r w:rsidR="00BD6C0B" w:rsidRPr="00CC5505">
        <w:rPr>
          <w:rFonts w:ascii="Cambria Math" w:hAnsi="Cambria Math" w:cs="Cambria Math"/>
          <w:sz w:val="26"/>
          <w:szCs w:val="26"/>
          <w:lang w:val="en-ID"/>
        </w:rPr>
        <w:instrText>‐</w:instrText>
      </w:r>
      <w:r w:rsidR="00BD6C0B" w:rsidRPr="00CC5505">
        <w:rPr>
          <w:rFonts w:ascii="Book Antiqua" w:hAnsi="Book Antiqua"/>
          <w:sz w:val="26"/>
          <w:szCs w:val="26"/>
          <w:lang w:val="en-ID"/>
        </w:rPr>
        <w:instrText>organised networks can co</w:instrText>
      </w:r>
      <w:r w:rsidR="00BD6C0B" w:rsidRPr="00CC5505">
        <w:rPr>
          <w:rFonts w:ascii="Cambria Math" w:hAnsi="Cambria Math" w:cs="Cambria Math"/>
          <w:sz w:val="26"/>
          <w:szCs w:val="26"/>
          <w:lang w:val="en-ID"/>
        </w:rPr>
        <w:instrText>‐</w:instrText>
      </w:r>
      <w:r w:rsidR="00BD6C0B" w:rsidRPr="00CC5505">
        <w:rPr>
          <w:rFonts w:ascii="Book Antiqua" w:hAnsi="Book Antiqua"/>
          <w:sz w:val="26"/>
          <w:szCs w:val="26"/>
          <w:lang w:val="en-ID"/>
        </w:rPr>
        <w:instrText>evolve for improved sustainability. Research limitations/implications The main aspects of both theories and examples of their explanatory power to support learning in practical applications in organisations were introduced. The initial findings indicate that it will be worth studying in greater depth the contributions to organisational learning from both conceptual models and more widely comparing their applications and insights. Practical implications The paper offers some guidance to both researchers and practitioners interested in using complex systems theories in action research</w:instrText>
      </w:r>
      <w:r w:rsidR="00BD6C0B" w:rsidRPr="00CC5505">
        <w:rPr>
          <w:rFonts w:ascii="Cambria Math" w:hAnsi="Cambria Math" w:cs="Cambria Math"/>
          <w:sz w:val="26"/>
          <w:szCs w:val="26"/>
          <w:lang w:val="en-ID"/>
        </w:rPr>
        <w:instrText>‐</w:instrText>
      </w:r>
      <w:r w:rsidR="00BD6C0B" w:rsidRPr="00CC5505">
        <w:rPr>
          <w:rFonts w:ascii="Book Antiqua" w:hAnsi="Book Antiqua"/>
          <w:sz w:val="26"/>
          <w:szCs w:val="26"/>
          <w:lang w:val="en-ID"/>
        </w:rPr>
        <w:instrText>oriented projects, regarding the usability and applicability of both approaches. Originality/value It is considered that, by better understanding organisational ability to adapt and self</w:instrText>
      </w:r>
      <w:r w:rsidR="00BD6C0B" w:rsidRPr="00CC5505">
        <w:rPr>
          <w:rFonts w:ascii="Cambria Math" w:hAnsi="Cambria Math" w:cs="Cambria Math"/>
          <w:sz w:val="26"/>
          <w:szCs w:val="26"/>
          <w:lang w:val="en-ID"/>
        </w:rPr>
        <w:instrText>‐</w:instrText>
      </w:r>
      <w:r w:rsidR="00BD6C0B" w:rsidRPr="00CC5505">
        <w:rPr>
          <w:rFonts w:ascii="Book Antiqua" w:hAnsi="Book Antiqua"/>
          <w:sz w:val="26"/>
          <w:szCs w:val="26"/>
          <w:lang w:val="en-ID"/>
        </w:rPr>
        <w:instrText>regulate on crucial issues for sustainability, it may help to develop one path through the ongoing socio</w:instrText>
      </w:r>
      <w:r w:rsidR="00BD6C0B" w:rsidRPr="00CC5505">
        <w:rPr>
          <w:rFonts w:ascii="Cambria Math" w:hAnsi="Cambria Math" w:cs="Cambria Math"/>
          <w:sz w:val="26"/>
          <w:szCs w:val="26"/>
          <w:lang w:val="en-ID"/>
        </w:rPr>
        <w:instrText>‐</w:instrText>
      </w:r>
      <w:r w:rsidR="00BD6C0B" w:rsidRPr="00CC5505">
        <w:rPr>
          <w:rFonts w:ascii="Book Antiqua" w:hAnsi="Book Antiqua"/>
          <w:sz w:val="26"/>
          <w:szCs w:val="26"/>
          <w:lang w:val="en-ID"/>
        </w:rPr>
        <w:instrText>ecological crisis. While much has been written about sustainability initiatives and governance from conventional per…","author":[{"dropping-particle":"","family":"Espinosa","given":"A.","non-dropping-particle":"","parse-names":false,"suffix":""},{"dropping-particle":"","family":"Porter","given":"T.","non-dropping-particle":"","parse-names":false,"suffix":""}],"container-title":"The Learning Organization","editor":[{"dropping-particle":"","family":"Smith","given":"Peter A.C.","non-dropping-particle":"","parse-names":false,"suffix":""}],"id":"ITEM-1","issue":"1","issued":{"date-parts":[["2011","1","11"]]},"page":"54-72","title":"Sustainability, Complexity and Learning: Insights from Complex Systems Approaches","type":"article-journal","volume":"18"},"uris":["http://www.mendeley.com/documents/?uuid=daad1ade-2679-4b10-82e1-96f00055b949"]},{"id":"ITEM-2","itemData":{"DOI":"10.1007/s11125-016-9380-7","ISSN":"00331538 (ISSN)","abstract":"Policymakers have increasingly advocated decentralization as a way of enhancing educational quality, although its potential in this area is still subject to debate. This article traces the impetus and popularity of the reform as a policy solution over the past few decades. It argues that three trends in particular have characterized the post-2000 era: a deepening of reforms implemented earlier, an enhanced focus on school decentralization interventions, and a notable increase in schemes in the African region. Interestingly, in individual nations, donor agencies have often encouraged the reforms that make up these trends. The article then examines the empirical evidence on the relationship between decentralization and educational quality, using detailed case studies of Indonesia and Kenya. The case studies not only showcase these decentralization trends but also demonstrate that different decentralization approaches can result in dramatically different outcomes in educational quality. On this front, the article argues that design and implementation features tend to shape quality outcomes—and those features, in turn, are fundamentally shaped by economic conditions as well as by the politics of donors and local stakeholders. © 2016, UNESCO IBE.","author":[{"dropping-particle":"","family":"Channa","given":"A","non-dropping-particle":"","parse-names":false,"suffix":""}],"container-title":"Prospects","id":"ITEM-2","issue":"1","issued":{"date-parts":[["2016"]]},"language":"English","note":"Export Date: 19 June 2025; Cited By: 7; Correspondence Address: A. Channa; Department of Development Studies, SOAS, University of London, London, Thornhaugh Street, Russell Square, WC1H 0XG, United Kingdom; email: anila.channa@soas.ac.uk","page":"131-147","publisher":"Springer Netherlands","publisher-place":"Department of Development Studies, SOAS, University of London, Thornhaugh Street, Russell Square, London, WC1H 0XG, United Kingdom","title":"Popularity of the decentralization reform and its effects on the quality of education","type":"article-journal","volume":"46"},"uris":["http://www.mendeley.com/documents/?uuid=23600de4-fc1e-4793-a0cc-78896fd7295e"]}],"mendeley":{"formattedCitation":"(Channa, 2016; Espinosa &amp; Porter, 2011)","plainTextFormattedCitation":"(Channa, 2016; Espinosa &amp; Porter, 2011)","previouslyFormattedCitation":"(Channa, 2016; Espinosa &amp; Porter, 2011)"},"properties":{"noteIndex":0},"schema":"https://github.com/citation-style-language/schema/raw/master/csl-citation.json"}</w:instrText>
      </w:r>
      <w:r w:rsidR="00B52D07" w:rsidRPr="00CC5505">
        <w:rPr>
          <w:rFonts w:ascii="Book Antiqua" w:hAnsi="Book Antiqua"/>
          <w:sz w:val="26"/>
          <w:szCs w:val="26"/>
          <w:lang w:val="en-ID"/>
        </w:rPr>
        <w:fldChar w:fldCharType="separate"/>
      </w:r>
      <w:hyperlink w:anchor="Channa" w:history="1">
        <w:r w:rsidR="00BD6C0B" w:rsidRPr="00CC5505">
          <w:rPr>
            <w:rStyle w:val="Hyperlink"/>
            <w:rFonts w:ascii="Book Antiqua" w:hAnsi="Book Antiqua"/>
            <w:noProof/>
            <w:sz w:val="26"/>
            <w:szCs w:val="26"/>
            <w:u w:val="none"/>
            <w:lang w:val="en-ID"/>
          </w:rPr>
          <w:t>(Channa, 2016;</w:t>
        </w:r>
      </w:hyperlink>
      <w:r w:rsidR="00BD6C0B" w:rsidRPr="00CC5505">
        <w:rPr>
          <w:rFonts w:ascii="Book Antiqua" w:hAnsi="Book Antiqua"/>
          <w:noProof/>
          <w:sz w:val="26"/>
          <w:szCs w:val="26"/>
          <w:lang w:val="en-ID"/>
        </w:rPr>
        <w:t xml:space="preserve"> </w:t>
      </w:r>
      <w:hyperlink w:anchor="Espinosa" w:history="1">
        <w:r w:rsidR="00BD6C0B" w:rsidRPr="00CC5505">
          <w:rPr>
            <w:rStyle w:val="Hyperlink"/>
            <w:rFonts w:ascii="Book Antiqua" w:hAnsi="Book Antiqua"/>
            <w:noProof/>
            <w:sz w:val="26"/>
            <w:szCs w:val="26"/>
            <w:u w:val="none"/>
            <w:lang w:val="en-ID"/>
          </w:rPr>
          <w:t>Espinosa &amp; Porter, 2011)</w:t>
        </w:r>
      </w:hyperlink>
      <w:r w:rsidR="00B52D07" w:rsidRPr="00CC5505">
        <w:rPr>
          <w:rFonts w:ascii="Book Antiqua" w:hAnsi="Book Antiqua"/>
          <w:sz w:val="26"/>
          <w:szCs w:val="26"/>
          <w:lang w:val="en-ID"/>
        </w:rPr>
        <w:fldChar w:fldCharType="end"/>
      </w:r>
      <w:r w:rsidR="00C7400F" w:rsidRPr="00CC5505">
        <w:rPr>
          <w:rFonts w:ascii="Book Antiqua" w:hAnsi="Book Antiqua"/>
          <w:sz w:val="26"/>
          <w:szCs w:val="26"/>
          <w:lang w:val="en-ID"/>
        </w:rPr>
        <w:t>.</w:t>
      </w:r>
    </w:p>
    <w:p w14:paraId="3FEEAD3E" w14:textId="3BF6BE2D" w:rsidR="00C7400F" w:rsidRPr="00CC5505" w:rsidRDefault="00691CE5" w:rsidP="00E41129">
      <w:pPr>
        <w:spacing w:line="276" w:lineRule="auto"/>
        <w:ind w:firstLine="567"/>
        <w:jc w:val="both"/>
        <w:rPr>
          <w:rFonts w:ascii="Book Antiqua" w:hAnsi="Book Antiqua"/>
          <w:sz w:val="26"/>
          <w:szCs w:val="26"/>
          <w:lang w:val="en-ID"/>
        </w:rPr>
      </w:pPr>
      <w:r w:rsidRPr="00CC5505">
        <w:rPr>
          <w:rFonts w:ascii="Book Antiqua" w:hAnsi="Book Antiqua"/>
          <w:sz w:val="26"/>
          <w:szCs w:val="26"/>
          <w:lang w:val="en-ID"/>
        </w:rPr>
        <w:t>A</w:t>
      </w:r>
      <w:r w:rsidR="00C7400F" w:rsidRPr="00CC5505">
        <w:rPr>
          <w:rFonts w:ascii="Book Antiqua" w:hAnsi="Book Antiqua"/>
          <w:sz w:val="26"/>
          <w:szCs w:val="26"/>
          <w:lang w:val="en-ID"/>
        </w:rPr>
        <w:t xml:space="preserve"> guiding principle, educational institutions can not only address environmental challenges but also contribute to social equity and economic resilience</w:t>
      </w:r>
      <w:r w:rsidR="00BD6C0B" w:rsidRPr="00CC5505">
        <w:rPr>
          <w:rFonts w:ascii="Book Antiqua" w:hAnsi="Book Antiqua"/>
          <w:sz w:val="26"/>
          <w:szCs w:val="26"/>
          <w:lang w:val="en-ID"/>
        </w:rPr>
        <w:t xml:space="preserve"> </w:t>
      </w:r>
      <w:hyperlink w:anchor="Januarti" w:history="1">
        <w:r w:rsidR="00BD6C0B" w:rsidRPr="00CC5505">
          <w:rPr>
            <w:rStyle w:val="Hyperlink"/>
            <w:rFonts w:ascii="Book Antiqua" w:hAnsi="Book Antiqua"/>
            <w:sz w:val="26"/>
            <w:szCs w:val="26"/>
            <w:u w:val="none"/>
            <w:lang w:val="en-ID"/>
          </w:rPr>
          <w:fldChar w:fldCharType="begin" w:fldLock="1"/>
        </w:r>
        <w:r w:rsidR="00BD6C0B" w:rsidRPr="00CC5505">
          <w:rPr>
            <w:rStyle w:val="Hyperlink"/>
            <w:rFonts w:ascii="Book Antiqua" w:hAnsi="Book Antiqua"/>
            <w:sz w:val="26"/>
            <w:szCs w:val="26"/>
            <w:u w:val="none"/>
            <w:lang w:val="en-ID"/>
          </w:rPr>
          <w:instrText>ADDIN CSL_CITATION {"citationItems":[{"id":"ITEM-1","itemData":{"DOI":"10.1051/e3sconf/202133102006","ISBN":"25550403 (ISSN)","abstract":"Pidie Jaya (Piday) District of Aceh Province is a newly formed district in 2007. In addition to the COVID-19 pandemic, the Pidie Jaya district also experienced a series of disasters throughout 2020. Nevertheless, the Piday District Human Development Index (HDI) in 2017 exceeded the National achievement. But piday district poverty ranks 3rd in the Province. This has the potential to make the Piday district prone to disasters in addition to geographical location factors. Therefore, the existence of such gaps in this study will be discussed. This study uses qualitative methods through descriptive narrative approaches. Sources of information and data were obtained through Focus Group Decision (FGD) from several sources and studies of some literature. The results stated that the gap is due to economic development being less evenly distributed and less felt by lower-level people. This is due to low education factors and lack of capital for farmers and fishermen as the majority of workers in Piday District. The research suggests increasing community capacity and resilience by 1) Improving the quality of human resources for farmers and fishermen in the form of education and training based on improving the economy and living standards of farming communities wrapped in local wisdom; 2) Infrastructure development both facilities and infrastructure; 3) Provision of capital and ease of access in business and insurance coverage against disasters by taking into account local wisdom; 4) Empowerment of the role and involvement of local community leaders in the formulation of policies and local government institutions. © The Authors, published by EDP Sciences. This is an open access article distributed under the terms of the Creative Commons Attribution License 4.0 (http://creativecommons.org/licenses/by/4.0/)","author":[{"dropping-particle":"","family":"Januarti","given":"R T","non-dropping-particle":"","parse-names":false,"suffix":""},{"dropping-particle":"","family":"Sukendro","given":"A","non-dropping-particle":"","parse-names":false,"suffix":""},{"dropping-particle":"","family":"Apriyadi","given":"R K","non-dropping-particle":"","parse-names":false,"suffix":""},{"dropping-particle":"","family":"Ruskar","given":"D","non-dropping-particle":"","parse-names":false,"suffix":""}],"container-title":"E3S Web of Conferences","editor":[{"dropping-particle":"","family":"L.","given":"Comfort","non-dropping-particle":"","parse-names":false,"suffix":""},{"dropping-particle":"","family":"S.","given":"Saravanan","non-dropping-particle":"","parse-names":false,"suffix":""},{"dropping-particle":"","family":"I.W.","given":"Sengara","non-dropping-particle":"","parse-names":false,"suffix":""},{"dropping-particle":"","family":"null","given":"Fauzan","non-dropping-particle":"","parse-names":false,"suffix":""}],"id":"ITEM-1","issued":{"date-parts":[["2021"]]},"language":"English","note":"Export Date: 26 July 2024; Cited By: 0; Correspondence Address: R.T. Januarti; Disaster Management Study Program, National Security Faculty, Republic of Indonesia Defense University, IPSC Sentul Area, Bogor, West Java, Indonesia; email: riskina.tri@gmail.com; Conference name: 2021 International Conference on Disaster Mitigation and Management, ICDMM 2021; Conference date: 30 September 2021 through 1 October 2021; Conference code: 185567","publisher":"EDP Sciences","publisher-place":"Disaster Management Study Program, National Security Faculty, Republic of Indonesia Defense University, IPSC Sentul Area, West Java, Bogor, Indonesia","title":"Socio-economic resilience of Pidie Jaya to against disaster in the terms of national security","type":"paper-conference","volume":"331"},"uris":["http://www.mendeley.com/documents/?uuid=dc901621-b89a-4632-9fd1-cda7c16f8732"]}],"mendeley":{"formattedCitation":"(Januarti et al., 2021)","plainTextFormattedCitation":"(Januarti et al., 2021)","previouslyFormattedCitation":"(Januarti et al., 2021)"},"properties":{"noteIndex":0},"schema":"https://github.com/citation-style-language/schema/raw/master/csl-citation.json"}</w:instrText>
        </w:r>
        <w:r w:rsidR="00BD6C0B" w:rsidRPr="00CC5505">
          <w:rPr>
            <w:rStyle w:val="Hyperlink"/>
            <w:rFonts w:ascii="Book Antiqua" w:hAnsi="Book Antiqua"/>
            <w:sz w:val="26"/>
            <w:szCs w:val="26"/>
            <w:u w:val="none"/>
            <w:lang w:val="en-ID"/>
          </w:rPr>
          <w:fldChar w:fldCharType="separate"/>
        </w:r>
        <w:r w:rsidR="00BD6C0B" w:rsidRPr="00CC5505">
          <w:rPr>
            <w:rStyle w:val="Hyperlink"/>
            <w:rFonts w:ascii="Book Antiqua" w:hAnsi="Book Antiqua"/>
            <w:noProof/>
            <w:sz w:val="26"/>
            <w:szCs w:val="26"/>
            <w:u w:val="none"/>
            <w:lang w:val="en-ID"/>
          </w:rPr>
          <w:t>(Januarti et al., 2021)</w:t>
        </w:r>
        <w:r w:rsidR="00BD6C0B" w:rsidRPr="00CC5505">
          <w:rPr>
            <w:rStyle w:val="Hyperlink"/>
            <w:rFonts w:ascii="Book Antiqua" w:hAnsi="Book Antiqua"/>
            <w:sz w:val="26"/>
            <w:szCs w:val="26"/>
            <w:u w:val="none"/>
            <w:lang w:val="en-ID"/>
          </w:rPr>
          <w:fldChar w:fldCharType="end"/>
        </w:r>
      </w:hyperlink>
      <w:r w:rsidR="00C7400F" w:rsidRPr="00CC5505">
        <w:rPr>
          <w:rFonts w:ascii="Book Antiqua" w:hAnsi="Book Antiqua"/>
          <w:sz w:val="26"/>
          <w:szCs w:val="26"/>
          <w:lang w:val="en-ID"/>
        </w:rPr>
        <w:t xml:space="preserve">. They can prepare students to become </w:t>
      </w:r>
      <w:r w:rsidR="00C7400F" w:rsidRPr="00CC5505">
        <w:rPr>
          <w:rFonts w:ascii="Book Antiqua" w:hAnsi="Book Antiqua"/>
          <w:sz w:val="26"/>
          <w:szCs w:val="26"/>
          <w:lang w:val="en-ID"/>
        </w:rPr>
        <w:lastRenderedPageBreak/>
        <w:t>responsible global citizens who are equipped to tackle complex sustainability issues in their personal and professional lives.</w:t>
      </w:r>
    </w:p>
    <w:p w14:paraId="589D7DCC" w14:textId="0430104B" w:rsidR="00C7400F" w:rsidRPr="00CC5505" w:rsidRDefault="00B52D07" w:rsidP="00E41129">
      <w:pPr>
        <w:spacing w:line="276" w:lineRule="auto"/>
        <w:ind w:firstLine="567"/>
        <w:jc w:val="both"/>
        <w:rPr>
          <w:rFonts w:ascii="Book Antiqua" w:hAnsi="Book Antiqua"/>
          <w:sz w:val="26"/>
          <w:szCs w:val="26"/>
          <w:lang w:val="en-ID"/>
        </w:rPr>
      </w:pPr>
      <w:r w:rsidRPr="00CC5505">
        <w:rPr>
          <w:rFonts w:ascii="Book Antiqua" w:hAnsi="Book Antiqua"/>
          <w:sz w:val="26"/>
          <w:szCs w:val="26"/>
          <w:lang w:val="en-ID"/>
        </w:rPr>
        <w:t>T</w:t>
      </w:r>
      <w:r w:rsidR="00C7400F" w:rsidRPr="00CC5505">
        <w:rPr>
          <w:rFonts w:ascii="Book Antiqua" w:hAnsi="Book Antiqua"/>
          <w:sz w:val="26"/>
          <w:szCs w:val="26"/>
          <w:lang w:val="en-ID"/>
        </w:rPr>
        <w:t>he integration of sustainability into educational institutions presents a significant opportunity and challenge</w:t>
      </w:r>
      <w:r w:rsidRPr="00CC5505">
        <w:rPr>
          <w:rFonts w:ascii="Book Antiqua" w:hAnsi="Book Antiqua"/>
          <w:sz w:val="26"/>
          <w:szCs w:val="26"/>
          <w:lang w:val="en-ID"/>
        </w:rPr>
        <w:t xml:space="preserve"> </w:t>
      </w:r>
      <w:hyperlink w:anchor="Peters" w:history="1">
        <w:r w:rsidRPr="00CC5505">
          <w:rPr>
            <w:rStyle w:val="Hyperlink"/>
            <w:rFonts w:ascii="Book Antiqua" w:hAnsi="Book Antiqua"/>
            <w:sz w:val="26"/>
            <w:szCs w:val="26"/>
            <w:u w:val="none"/>
            <w:lang w:val="en-ID"/>
          </w:rPr>
          <w:fldChar w:fldCharType="begin" w:fldLock="1"/>
        </w:r>
        <w:r w:rsidRPr="00CC5505">
          <w:rPr>
            <w:rStyle w:val="Hyperlink"/>
            <w:rFonts w:ascii="Book Antiqua" w:hAnsi="Book Antiqua"/>
            <w:sz w:val="26"/>
            <w:szCs w:val="26"/>
            <w:u w:val="none"/>
            <w:lang w:val="en-ID"/>
          </w:rPr>
          <w:instrText>ADDIN CSL_CITATION {"citationItems":[{"id":"ITEM-1","itemData":{"DOI":"10.1145/3639060","ISSN":"19466226 (ISSN)","abstract":"Research shows that the global society as organized today, with our current technological and economic system, is impossible to sustain. We are living in an era in which human activities in highly industrialized countries are responsible for overshooting several planetary boundaries, with poorer communities contributing the least to the problems but being impacted the most. At the same time, technical and economic gains fail to provide society at large with equal opportunities and improved quality of life. This article describes approaches taken in computing education to address the issue of sustainability. It presents results of a systematic review of the literature on sustainability in computing education. From a set of 572 publications extracted from six large digital libraries plus snowballing, we distilled and analyzed 89 relevant primary studies. Using an inductive and deductive thematic analysis, we study (i) conceptions of sustainability, computing, and education; (ii) implementations of sustainability in computing education; and (iii) research on sustainability in computing education. We present a framework capturing learning objectives and outcomes as well as pedagogical methods for sustainability in computing education. These results can be mapped to existing standards and curricula in future work. We find that only a few of the articles engage with the challenges as calling for drastic systemic change, along with radically new understandings of computing and education. We suggest that future work should connect to the substantial body of critical theory, such as feminist theories of science and technology. Existing research on sustainability in computing education may be considered rather immature, as the majority of articles are experience reports with limited empirical research. © 2024 Copyright held by the owner/author(s).","author":[{"dropping-particle":"","family":"Peters","given":"A.-K.","non-dropping-particle":"","parse-names":false,"suffix":""},{"dropping-particle":"","family":"Capilla","given":"R","non-dropping-particle":"","parse-names":false,"suffix":""},{"dropping-particle":"","family":"Coroamă","given":"V C","non-dropping-particle":"","parse-names":false,"suffix":""},{"dropping-particle":"","family":"Heldal","given":"R","non-dropping-particle":"","parse-names":false,"suffix":""},{"dropping-particle":"","family":"Lago","given":"P","non-dropping-particle":"","parse-names":false,"suffix":""},{"dropping-particle":"","family":"Leifler","given":"O","non-dropping-particle":"","parse-names":false,"suffix":""},{"dropping-particle":"","family":"Moreira","given":"A","non-dropping-particle":"","parse-names":false,"suffix":""},{"dropping-particle":"","family":"Fernandes","given":"J P","non-dropping-particle":"","parse-names":false,"suffix":""},{"dropping-particle":"","family":"Penzenstadler","given":"B","non-dropping-particle":"","parse-names":false,"suffix":""},{"dropping-particle":"","family":"Porras","given":"J","non-dropping-particle":"","parse-names":false,"suffix":""},{"dropping-particle":"","family":"Venters","given":"C C","non-dropping-particle":"","parse-names":false,"suffix":""}],"container-title":"ACM Transactions on Computing Education","id":"ITEM-1","issue":"1","issued":{"date-parts":[["2024"]]},"language":"English","note":"Export Date: 01 August 2024; Cited By: 3","publisher":"Association for Computing Machinery","publisher-place":"Department of Learning, KTH Royal Institute of Technology, Sweden","title":"Sustainability in Computing Education: A Systematic Literature Review","type":"article-journal","volume":"24"},"uris":["http://www.mendeley.com/documents/?uuid=f68351ec-86e0-4b9b-a57a-1ab921c5ce50"]}],"mendeley":{"formattedCitation":"(Peters et al., 2024)","plainTextFormattedCitation":"(Peters et al., 2024)","previouslyFormattedCitation":"(Peters et al., 2024)"},"properties":{"noteIndex":0},"schema":"https://github.com/citation-style-language/schema/raw/master/csl-citation.json"}</w:instrText>
        </w:r>
        <w:r w:rsidRPr="00CC5505">
          <w:rPr>
            <w:rStyle w:val="Hyperlink"/>
            <w:rFonts w:ascii="Book Antiqua" w:hAnsi="Book Antiqua"/>
            <w:sz w:val="26"/>
            <w:szCs w:val="26"/>
            <w:u w:val="none"/>
            <w:lang w:val="en-ID"/>
          </w:rPr>
          <w:fldChar w:fldCharType="separate"/>
        </w:r>
        <w:r w:rsidRPr="00CC5505">
          <w:rPr>
            <w:rStyle w:val="Hyperlink"/>
            <w:rFonts w:ascii="Book Antiqua" w:hAnsi="Book Antiqua"/>
            <w:noProof/>
            <w:sz w:val="26"/>
            <w:szCs w:val="26"/>
            <w:u w:val="none"/>
            <w:lang w:val="en-ID"/>
          </w:rPr>
          <w:t>(Peters et al., 2024)</w:t>
        </w:r>
        <w:r w:rsidRPr="00CC5505">
          <w:rPr>
            <w:rStyle w:val="Hyperlink"/>
            <w:rFonts w:ascii="Book Antiqua" w:hAnsi="Book Antiqua"/>
            <w:sz w:val="26"/>
            <w:szCs w:val="26"/>
            <w:u w:val="none"/>
            <w:lang w:val="en-ID"/>
          </w:rPr>
          <w:fldChar w:fldCharType="end"/>
        </w:r>
      </w:hyperlink>
      <w:r w:rsidR="00C7400F" w:rsidRPr="00CC5505">
        <w:rPr>
          <w:rFonts w:ascii="Book Antiqua" w:hAnsi="Book Antiqua"/>
          <w:sz w:val="26"/>
          <w:szCs w:val="26"/>
          <w:lang w:val="en-ID"/>
        </w:rPr>
        <w:t>. By leveraging projects and embracing sustainability as a core value, schools can drive positive change, shape future leaders, and contribute to a more sustainable and equitable society</w:t>
      </w:r>
      <w:r w:rsidRPr="00CC5505">
        <w:rPr>
          <w:rFonts w:ascii="Book Antiqua" w:hAnsi="Book Antiqua"/>
          <w:sz w:val="26"/>
          <w:szCs w:val="26"/>
          <w:lang w:val="en-ID"/>
        </w:rPr>
        <w:t xml:space="preserve"> </w:t>
      </w:r>
      <w:hyperlink w:anchor="Alonso" w:history="1">
        <w:r w:rsidRPr="00CC5505">
          <w:rPr>
            <w:rStyle w:val="Hyperlink"/>
            <w:rFonts w:ascii="Book Antiqua" w:hAnsi="Book Antiqua"/>
            <w:sz w:val="26"/>
            <w:szCs w:val="26"/>
            <w:u w:val="none"/>
            <w:lang w:val="en-ID"/>
          </w:rPr>
          <w:fldChar w:fldCharType="begin" w:fldLock="1"/>
        </w:r>
        <w:r w:rsidR="00BD6C0B" w:rsidRPr="00CC5505">
          <w:rPr>
            <w:rStyle w:val="Hyperlink"/>
            <w:rFonts w:ascii="Book Antiqua" w:hAnsi="Book Antiqua"/>
            <w:sz w:val="26"/>
            <w:szCs w:val="26"/>
            <w:u w:val="none"/>
            <w:lang w:val="en-ID"/>
          </w:rPr>
          <w:instrText>ADDIN CSL_CITATION {"citationItems":[{"id":"ITEM-1","itemData":{"DOI":"10.1016/j.jclepro.2014.02.008","ISSN":"09596526","abstract":"Universities play a key role in the development of society, and their involvement in sustainable development will be crucial in changing current practices in society towards sustainable development. Thus, information about the measures and actions taken towards sustainable development needs to be communicated to all university stakeholders. Sustainability reporting is a voluntary tool for disclosing efforts towards sustainable development, but little research has analysed the diffusion of sustainability reporting among universities. This study uses a combination of qualitative and quantitative methods to explain the worldwide diffusion of sustainability reporting in universities. At the macro level, regressions using logistic curves showed the stage of diffusion regarding sustainability reporting for different regions around the world. At the micro level, two types of data were analysed to assess the sustainable practices used among universities: (i) data from the Global Reporting Initiative (GRI) sustainability reporting database and (ii) sustainability reports from the GRI database. The results indicate that the diffusion of sustainability reporting is still at an early stage in universities, and no massive diffusion is expected based on the current data, despite the increasing concerns about sustainability in young people and other university stakeholders. Some actions need to be taken to persuade universities to adopt reporting standards and to highlight the benefits and necessity of sustainability reporting. Some European universities, which are the most active universities in providing sustainability reports, have improved their visibility by adopting the GRI, thus increasing their endowments and facilitating their ability to raise funds for future sustainability activities.","author":[{"dropping-particle":"","family":"Alonso-Almeida","given":"María del Mar","non-dropping-particle":"","parse-names":false,"suffix":""},{"dropping-particle":"","family":"Marimon","given":"Frederic","non-dropping-particle":"","parse-names":false,"suffix":""},{"dropping-particle":"","family":"Casani","given":"Fernando","non-dropping-particle":"","parse-names":false,"suffix":""},{"dropping-particle":"","family":"Rodriguez-Pomeda","given":"Jesús","non-dropping-particle":"","parse-names":false,"suffix":""}],"container-title":"Journal of Cleaner Production","id":"ITEM-1","issued":{"date-parts":[["2015","11"]]},"page":"144-154","title":"Diffusion of Sustainability Reporting in Universities: Current Situation and Future Perspectives","type":"article-journal","volume":"106"},"uris":["http://www.mendeley.com/documents/?uuid=c35ff990-0662-417b-b386-c51ca5e3f52f"]}],"mendeley":{"formattedCitation":"(Alonso-Almeida et al., 2015)","plainTextFormattedCitation":"(Alonso-Almeida et al., 2015)","previouslyFormattedCitation":"(Alonso-Almeida et al., 2015)"},"properties":{"noteIndex":0},"schema":"https://github.com/citation-style-language/schema/raw/master/csl-citation.json"}</w:instrText>
        </w:r>
        <w:r w:rsidRPr="00CC5505">
          <w:rPr>
            <w:rStyle w:val="Hyperlink"/>
            <w:rFonts w:ascii="Book Antiqua" w:hAnsi="Book Antiqua"/>
            <w:sz w:val="26"/>
            <w:szCs w:val="26"/>
            <w:u w:val="none"/>
            <w:lang w:val="en-ID"/>
          </w:rPr>
          <w:fldChar w:fldCharType="separate"/>
        </w:r>
        <w:r w:rsidRPr="00CC5505">
          <w:rPr>
            <w:rStyle w:val="Hyperlink"/>
            <w:rFonts w:ascii="Book Antiqua" w:hAnsi="Book Antiqua"/>
            <w:noProof/>
            <w:sz w:val="26"/>
            <w:szCs w:val="26"/>
            <w:u w:val="none"/>
            <w:lang w:val="en-ID"/>
          </w:rPr>
          <w:t>(Alonso-Almeida et al., 2015)</w:t>
        </w:r>
        <w:r w:rsidRPr="00CC5505">
          <w:rPr>
            <w:rStyle w:val="Hyperlink"/>
            <w:rFonts w:ascii="Book Antiqua" w:hAnsi="Book Antiqua"/>
            <w:sz w:val="26"/>
            <w:szCs w:val="26"/>
            <w:u w:val="none"/>
            <w:lang w:val="en-ID"/>
          </w:rPr>
          <w:fldChar w:fldCharType="end"/>
        </w:r>
      </w:hyperlink>
      <w:r w:rsidR="00C7400F" w:rsidRPr="00CC5505">
        <w:rPr>
          <w:rFonts w:ascii="Book Antiqua" w:hAnsi="Book Antiqua"/>
          <w:sz w:val="26"/>
          <w:szCs w:val="26"/>
          <w:lang w:val="en-ID"/>
        </w:rPr>
        <w:t>.</w:t>
      </w:r>
    </w:p>
    <w:p w14:paraId="525CDA70" w14:textId="46E81B1F" w:rsidR="00BD6C0B" w:rsidRPr="00CC5505" w:rsidRDefault="00BD6C0B" w:rsidP="00E41129">
      <w:pPr>
        <w:spacing w:line="276" w:lineRule="auto"/>
        <w:ind w:firstLine="567"/>
        <w:jc w:val="both"/>
        <w:rPr>
          <w:rFonts w:ascii="Book Antiqua" w:hAnsi="Book Antiqua"/>
          <w:sz w:val="26"/>
          <w:szCs w:val="26"/>
          <w:lang w:val="en-ID"/>
        </w:rPr>
      </w:pPr>
      <w:r w:rsidRPr="00CC5505">
        <w:rPr>
          <w:rFonts w:ascii="Book Antiqua" w:hAnsi="Book Antiqua"/>
          <w:sz w:val="26"/>
          <w:szCs w:val="26"/>
          <w:lang w:val="en-ID"/>
        </w:rPr>
        <w:t xml:space="preserve">Accordingly, this study aims to investigate leadership effectiveness within Islamic educational institutions as a catalyst for sustainable development. It seeks to </w:t>
      </w:r>
      <w:proofErr w:type="spellStart"/>
      <w:r w:rsidRPr="00CC5505">
        <w:rPr>
          <w:rFonts w:ascii="Book Antiqua" w:hAnsi="Book Antiqua"/>
          <w:sz w:val="26"/>
          <w:szCs w:val="26"/>
          <w:lang w:val="en-ID"/>
        </w:rPr>
        <w:t>analyze</w:t>
      </w:r>
      <w:proofErr w:type="spellEnd"/>
      <w:r w:rsidRPr="00CC5505">
        <w:rPr>
          <w:rFonts w:ascii="Book Antiqua" w:hAnsi="Book Antiqua"/>
          <w:sz w:val="26"/>
          <w:szCs w:val="26"/>
          <w:lang w:val="en-ID"/>
        </w:rPr>
        <w:t xml:space="preserve"> leadership </w:t>
      </w:r>
      <w:proofErr w:type="spellStart"/>
      <w:r w:rsidRPr="00CC5505">
        <w:rPr>
          <w:rFonts w:ascii="Book Antiqua" w:hAnsi="Book Antiqua"/>
          <w:sz w:val="26"/>
          <w:szCs w:val="26"/>
          <w:lang w:val="en-ID"/>
        </w:rPr>
        <w:t>behaviors</w:t>
      </w:r>
      <w:proofErr w:type="spellEnd"/>
      <w:r w:rsidRPr="00CC5505">
        <w:rPr>
          <w:rFonts w:ascii="Book Antiqua" w:hAnsi="Book Antiqua"/>
          <w:sz w:val="26"/>
          <w:szCs w:val="26"/>
          <w:lang w:val="en-ID"/>
        </w:rPr>
        <w:t>, strategies, and outcomes that best support the integration of Islamic values and sustainability principles, thereby offering both theoretical contributions and practical guidelines to educators, policymakers, and community leaders dedicated to nurturing resilient and ethically grounded future generations.</w:t>
      </w:r>
    </w:p>
    <w:p w14:paraId="0BBFF24D" w14:textId="77777777" w:rsidR="00C7400F" w:rsidRPr="00CC5505" w:rsidRDefault="00C7400F" w:rsidP="00E41129">
      <w:pPr>
        <w:spacing w:line="276" w:lineRule="auto"/>
        <w:jc w:val="both"/>
        <w:rPr>
          <w:rFonts w:ascii="Book Antiqua" w:hAnsi="Book Antiqua"/>
          <w:b/>
          <w:bCs/>
          <w:sz w:val="26"/>
          <w:szCs w:val="26"/>
        </w:rPr>
      </w:pPr>
    </w:p>
    <w:p w14:paraId="294E4E5F" w14:textId="2CEFEF66" w:rsidR="007464CD" w:rsidRPr="00CC5505" w:rsidRDefault="003D573A" w:rsidP="00E41129">
      <w:pPr>
        <w:spacing w:line="276" w:lineRule="auto"/>
        <w:jc w:val="both"/>
        <w:rPr>
          <w:rFonts w:ascii="Book Antiqua" w:hAnsi="Book Antiqua"/>
          <w:b/>
          <w:bCs/>
          <w:sz w:val="26"/>
          <w:szCs w:val="26"/>
        </w:rPr>
      </w:pPr>
      <w:r w:rsidRPr="00CC5505">
        <w:rPr>
          <w:rFonts w:ascii="Book Antiqua" w:hAnsi="Book Antiqua"/>
          <w:b/>
          <w:bCs/>
          <w:sz w:val="26"/>
          <w:szCs w:val="26"/>
        </w:rPr>
        <w:t>METHODS</w:t>
      </w:r>
    </w:p>
    <w:p w14:paraId="3B8D19DA" w14:textId="4EEB5283" w:rsidR="00216E38" w:rsidRPr="00CC5505" w:rsidRDefault="00E41129" w:rsidP="00E41129">
      <w:pPr>
        <w:autoSpaceDE w:val="0"/>
        <w:autoSpaceDN w:val="0"/>
        <w:adjustRightInd w:val="0"/>
        <w:spacing w:line="276" w:lineRule="auto"/>
        <w:ind w:firstLine="567"/>
        <w:jc w:val="both"/>
        <w:rPr>
          <w:rFonts w:ascii="Book Antiqua" w:eastAsia="SimSun" w:hAnsi="Book Antiqua"/>
          <w:sz w:val="26"/>
          <w:szCs w:val="26"/>
          <w:lang w:val="en-US" w:eastAsia="en-US"/>
        </w:rPr>
      </w:pPr>
      <w:r w:rsidRPr="00CC5505">
        <w:rPr>
          <w:rFonts w:ascii="Book Antiqua" w:eastAsia="SimSun" w:hAnsi="Book Antiqua"/>
          <w:sz w:val="26"/>
          <w:szCs w:val="26"/>
          <w:lang w:val="en-US" w:eastAsia="en-US"/>
        </w:rPr>
        <w:t xml:space="preserve">This research aims to explore the effectiveness of leadership in education for sustainable development at Batanghari Islamic College in Jambi and Syarif </w:t>
      </w:r>
      <w:proofErr w:type="spellStart"/>
      <w:r w:rsidRPr="00CC5505">
        <w:rPr>
          <w:rFonts w:ascii="Book Antiqua" w:eastAsia="SimSun" w:hAnsi="Book Antiqua"/>
          <w:sz w:val="26"/>
          <w:szCs w:val="26"/>
          <w:lang w:val="en-US" w:eastAsia="en-US"/>
        </w:rPr>
        <w:t>Hidayatullah</w:t>
      </w:r>
      <w:proofErr w:type="spellEnd"/>
      <w:r w:rsidRPr="00CC5505">
        <w:rPr>
          <w:rFonts w:ascii="Book Antiqua" w:eastAsia="SimSun" w:hAnsi="Book Antiqua"/>
          <w:sz w:val="26"/>
          <w:szCs w:val="26"/>
          <w:lang w:val="en-US" w:eastAsia="en-US"/>
        </w:rPr>
        <w:t xml:space="preserve"> State Islamic University (UIN) in Jakarta. Utilizing a qualitative approach with a case study method, this research will involve leaders (rectors, deans, and heads of study programs) as well as lecturers as research subjects. Samples will be taken purposively based on the criteria of experience in implementing sustainable education. Data will be collected through in-depth interviews, observations of activities related to sustainable education, and the collection of documents pertaining to policies and practices at each institution. Data analysis will be conducted using thematic analysis techniques, where the researcher will identify key themes from the obtained data to formulate conclusions. Source triangulation will also be applied to ensure data validity by comparing information from various sources. This research will adhere to ethical principles, including obtaining consent from informants, maintaining the confidentiality of identities, and using data solely for research purposes. With this design, it is hoped to gain a deep understanding of the effectiveness of leadership in the context of education for sustainable development at both institutions.</w:t>
      </w:r>
    </w:p>
    <w:p w14:paraId="6586C9A6" w14:textId="77777777" w:rsidR="00E41129" w:rsidRPr="00CC5505" w:rsidRDefault="00E41129" w:rsidP="00E41129">
      <w:pPr>
        <w:autoSpaceDE w:val="0"/>
        <w:autoSpaceDN w:val="0"/>
        <w:adjustRightInd w:val="0"/>
        <w:spacing w:line="276" w:lineRule="auto"/>
        <w:jc w:val="both"/>
        <w:rPr>
          <w:rFonts w:ascii="Book Antiqua" w:hAnsi="Book Antiqua"/>
          <w:sz w:val="26"/>
          <w:szCs w:val="26"/>
          <w:lang w:val="en-US"/>
        </w:rPr>
      </w:pPr>
    </w:p>
    <w:p w14:paraId="696C0340" w14:textId="0BC6E8FB" w:rsidR="00585B9E" w:rsidRPr="00CC5505" w:rsidRDefault="003D573A" w:rsidP="00E41129">
      <w:pPr>
        <w:pStyle w:val="Normal1"/>
        <w:widowControl w:val="0"/>
        <w:spacing w:line="276" w:lineRule="auto"/>
        <w:jc w:val="both"/>
        <w:rPr>
          <w:rFonts w:ascii="Book Antiqua" w:eastAsia="Cambria" w:hAnsi="Book Antiqua" w:cs="Cambria"/>
          <w:b/>
          <w:sz w:val="26"/>
          <w:szCs w:val="26"/>
        </w:rPr>
      </w:pPr>
      <w:r w:rsidRPr="00CC5505">
        <w:rPr>
          <w:rFonts w:ascii="Book Antiqua" w:eastAsia="Cambria" w:hAnsi="Book Antiqua" w:cs="Cambria"/>
          <w:b/>
          <w:sz w:val="26"/>
          <w:szCs w:val="26"/>
        </w:rPr>
        <w:t>RESULT AND DISCUSSION</w:t>
      </w:r>
    </w:p>
    <w:p w14:paraId="3B7D8028" w14:textId="77777777" w:rsidR="00E41129" w:rsidRPr="00CC5505" w:rsidRDefault="00E41129" w:rsidP="00E41129">
      <w:pPr>
        <w:spacing w:line="276" w:lineRule="auto"/>
        <w:ind w:firstLine="567"/>
        <w:jc w:val="both"/>
        <w:rPr>
          <w:rFonts w:ascii="Book Antiqua" w:hAnsi="Book Antiqua"/>
          <w:bCs/>
          <w:iCs/>
          <w:sz w:val="26"/>
          <w:szCs w:val="26"/>
          <w:lang w:val="id-ID"/>
        </w:rPr>
      </w:pPr>
      <w:proofErr w:type="spellStart"/>
      <w:r w:rsidRPr="00CC5505">
        <w:rPr>
          <w:rFonts w:ascii="Book Antiqua" w:hAnsi="Book Antiqua"/>
          <w:bCs/>
          <w:iCs/>
          <w:sz w:val="26"/>
          <w:szCs w:val="26"/>
          <w:lang w:val="id-ID"/>
        </w:rPr>
        <w:lastRenderedPageBreak/>
        <w:t>Leadership</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competence</w:t>
      </w:r>
      <w:proofErr w:type="spellEnd"/>
      <w:r w:rsidRPr="00CC5505">
        <w:rPr>
          <w:rFonts w:ascii="Book Antiqua" w:hAnsi="Book Antiqua"/>
          <w:bCs/>
          <w:iCs/>
          <w:sz w:val="26"/>
          <w:szCs w:val="26"/>
          <w:lang w:val="id-ID"/>
        </w:rPr>
        <w:t xml:space="preserve"> has </w:t>
      </w:r>
      <w:proofErr w:type="spellStart"/>
      <w:r w:rsidRPr="00CC5505">
        <w:rPr>
          <w:rFonts w:ascii="Book Antiqua" w:hAnsi="Book Antiqua"/>
          <w:bCs/>
          <w:iCs/>
          <w:sz w:val="26"/>
          <w:szCs w:val="26"/>
          <w:lang w:val="id-ID"/>
        </w:rPr>
        <w:t>become</w:t>
      </w:r>
      <w:proofErr w:type="spellEnd"/>
      <w:r w:rsidRPr="00CC5505">
        <w:rPr>
          <w:rFonts w:ascii="Book Antiqua" w:hAnsi="Book Antiqua"/>
          <w:bCs/>
          <w:iCs/>
          <w:sz w:val="26"/>
          <w:szCs w:val="26"/>
          <w:lang w:val="id-ID"/>
        </w:rPr>
        <w:t xml:space="preserve"> a fundamental </w:t>
      </w:r>
      <w:proofErr w:type="spellStart"/>
      <w:r w:rsidRPr="00CC5505">
        <w:rPr>
          <w:rFonts w:ascii="Book Antiqua" w:hAnsi="Book Antiqua"/>
          <w:bCs/>
          <w:iCs/>
          <w:sz w:val="26"/>
          <w:szCs w:val="26"/>
          <w:lang w:val="id-ID"/>
        </w:rPr>
        <w:t>concept</w:t>
      </w:r>
      <w:proofErr w:type="spellEnd"/>
      <w:r w:rsidRPr="00CC5505">
        <w:rPr>
          <w:rFonts w:ascii="Book Antiqua" w:hAnsi="Book Antiqua"/>
          <w:bCs/>
          <w:iCs/>
          <w:sz w:val="26"/>
          <w:szCs w:val="26"/>
          <w:lang w:val="id-ID"/>
        </w:rPr>
        <w:t xml:space="preserve"> in </w:t>
      </w:r>
      <w:proofErr w:type="spellStart"/>
      <w:r w:rsidRPr="00CC5505">
        <w:rPr>
          <w:rFonts w:ascii="Book Antiqua" w:hAnsi="Book Antiqua"/>
          <w:bCs/>
          <w:iCs/>
          <w:sz w:val="26"/>
          <w:szCs w:val="26"/>
          <w:lang w:val="id-ID"/>
        </w:rPr>
        <w:t>the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education</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sector</w:t>
      </w:r>
      <w:proofErr w:type="spellEnd"/>
      <w:r w:rsidRPr="00CC5505">
        <w:rPr>
          <w:rFonts w:ascii="Book Antiqua" w:hAnsi="Book Antiqua"/>
          <w:bCs/>
          <w:iCs/>
          <w:sz w:val="26"/>
          <w:szCs w:val="26"/>
          <w:lang w:val="id-ID"/>
        </w:rPr>
        <w:t xml:space="preserve"> in Indonesia </w:t>
      </w:r>
      <w:proofErr w:type="spellStart"/>
      <w:r w:rsidRPr="00CC5505">
        <w:rPr>
          <w:rFonts w:ascii="Book Antiqua" w:hAnsi="Book Antiqua"/>
          <w:bCs/>
          <w:iCs/>
          <w:sz w:val="26"/>
          <w:szCs w:val="26"/>
          <w:lang w:val="id-ID"/>
        </w:rPr>
        <w:t>since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the</w:t>
      </w:r>
      <w:proofErr w:type="spellEnd"/>
      <w:r w:rsidRPr="00CC5505">
        <w:rPr>
          <w:rFonts w:ascii="Book Antiqua" w:hAnsi="Book Antiqua"/>
          <w:bCs/>
          <w:iCs/>
          <w:sz w:val="26"/>
          <w:szCs w:val="26"/>
          <w:lang w:val="id-ID"/>
        </w:rPr>
        <w:t xml:space="preserve"> 1980s. </w:t>
      </w:r>
      <w:proofErr w:type="spellStart"/>
      <w:r w:rsidRPr="00CC5505">
        <w:rPr>
          <w:rFonts w:ascii="Book Antiqua" w:hAnsi="Book Antiqua"/>
          <w:bCs/>
          <w:iCs/>
          <w:sz w:val="26"/>
          <w:szCs w:val="26"/>
          <w:lang w:val="id-ID"/>
        </w:rPr>
        <w:t>This</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research</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explores</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the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relationship</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between</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leadership</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competence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approaches</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and</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the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contemporary</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discourse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on</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Education</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for</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Sustainable</w:t>
      </w:r>
      <w:proofErr w:type="spellEnd"/>
      <w:r w:rsidRPr="00CC5505">
        <w:rPr>
          <w:rFonts w:ascii="Book Antiqua" w:hAnsi="Book Antiqua"/>
          <w:bCs/>
          <w:iCs/>
          <w:sz w:val="26"/>
          <w:szCs w:val="26"/>
          <w:lang w:val="id-ID"/>
        </w:rPr>
        <w:t xml:space="preserve"> Development (ESD), </w:t>
      </w:r>
      <w:proofErr w:type="spellStart"/>
      <w:r w:rsidRPr="00CC5505">
        <w:rPr>
          <w:rFonts w:ascii="Book Antiqua" w:hAnsi="Book Antiqua"/>
          <w:bCs/>
          <w:iCs/>
          <w:sz w:val="26"/>
          <w:szCs w:val="26"/>
          <w:lang w:val="id-ID"/>
        </w:rPr>
        <w:t>focusing</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on</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competencies</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and</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quality</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criteria</w:t>
      </w:r>
      <w:proofErr w:type="spellEnd"/>
      <w:r w:rsidRPr="00CC5505">
        <w:rPr>
          <w:rFonts w:ascii="Book Antiqua" w:hAnsi="Book Antiqua"/>
          <w:bCs/>
          <w:iCs/>
          <w:sz w:val="26"/>
          <w:szCs w:val="26"/>
          <w:lang w:val="id-ID"/>
        </w:rPr>
        <w:t xml:space="preserve">. We </w:t>
      </w:r>
      <w:proofErr w:type="spellStart"/>
      <w:r w:rsidRPr="00CC5505">
        <w:rPr>
          <w:rFonts w:ascii="Book Antiqua" w:hAnsi="Book Antiqua"/>
          <w:bCs/>
          <w:iCs/>
          <w:sz w:val="26"/>
          <w:szCs w:val="26"/>
          <w:lang w:val="id-ID"/>
        </w:rPr>
        <w:t>argue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that</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leadership</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competence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encompasses</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the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art</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of</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leading</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educational</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institutions</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toward</w:t>
      </w:r>
      <w:proofErr w:type="spellEnd"/>
      <w:r w:rsidRPr="00CC5505">
        <w:rPr>
          <w:rFonts w:ascii="Book Antiqua" w:hAnsi="Book Antiqua"/>
          <w:bCs/>
          <w:iCs/>
          <w:sz w:val="26"/>
          <w:szCs w:val="26"/>
          <w:lang w:val="id-ID"/>
        </w:rPr>
        <w:t xml:space="preserve"> a </w:t>
      </w:r>
      <w:proofErr w:type="spellStart"/>
      <w:r w:rsidRPr="00CC5505">
        <w:rPr>
          <w:rFonts w:ascii="Book Antiqua" w:hAnsi="Book Antiqua"/>
          <w:bCs/>
          <w:iCs/>
          <w:sz w:val="26"/>
          <w:szCs w:val="26"/>
          <w:lang w:val="id-ID"/>
        </w:rPr>
        <w:t>vision</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of</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excellence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with</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its</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essence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stemming</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from</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leadership</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style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Emphasis</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is</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placed</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on</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the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implementation</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of</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situational</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leadership</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where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leadership</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styles</w:t>
      </w:r>
      <w:proofErr w:type="spellEnd"/>
      <w:r w:rsidRPr="00CC5505">
        <w:rPr>
          <w:rFonts w:ascii="Book Antiqua" w:hAnsi="Book Antiqua"/>
          <w:bCs/>
          <w:iCs/>
          <w:sz w:val="26"/>
          <w:szCs w:val="26"/>
          <w:lang w:val="id-ID"/>
        </w:rPr>
        <w:t xml:space="preserve"> are </w:t>
      </w:r>
      <w:proofErr w:type="spellStart"/>
      <w:r w:rsidRPr="00CC5505">
        <w:rPr>
          <w:rFonts w:ascii="Book Antiqua" w:hAnsi="Book Antiqua"/>
          <w:bCs/>
          <w:iCs/>
          <w:sz w:val="26"/>
          <w:szCs w:val="26"/>
          <w:lang w:val="id-ID"/>
        </w:rPr>
        <w:t>adapted</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to</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specific</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contexts</w:t>
      </w:r>
      <w:proofErr w:type="spellEnd"/>
      <w:r w:rsidRPr="00CC5505">
        <w:rPr>
          <w:rFonts w:ascii="Book Antiqua" w:hAnsi="Book Antiqua"/>
          <w:bCs/>
          <w:iCs/>
          <w:sz w:val="26"/>
          <w:szCs w:val="26"/>
          <w:lang w:val="id-ID"/>
        </w:rPr>
        <w:t>.</w:t>
      </w:r>
    </w:p>
    <w:p w14:paraId="12248C12" w14:textId="58AA61D0" w:rsidR="004661E2" w:rsidRPr="00CC5505" w:rsidRDefault="00E41129" w:rsidP="00E41129">
      <w:pPr>
        <w:spacing w:line="276" w:lineRule="auto"/>
        <w:ind w:firstLine="567"/>
        <w:jc w:val="both"/>
        <w:rPr>
          <w:rFonts w:ascii="Book Antiqua" w:hAnsi="Book Antiqua"/>
          <w:bCs/>
          <w:iCs/>
          <w:sz w:val="26"/>
          <w:szCs w:val="26"/>
          <w:lang w:val="id-ID"/>
        </w:rPr>
      </w:pPr>
      <w:proofErr w:type="spellStart"/>
      <w:r w:rsidRPr="00CC5505">
        <w:rPr>
          <w:rFonts w:ascii="Book Antiqua" w:hAnsi="Book Antiqua"/>
          <w:bCs/>
          <w:iCs/>
          <w:sz w:val="26"/>
          <w:szCs w:val="26"/>
          <w:lang w:val="id-ID"/>
        </w:rPr>
        <w:t>Furthermore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we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contend</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that</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the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interpretation</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of</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competence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within</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this</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framework</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significantly</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differs</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from</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the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individualistic</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perspectives</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commonly</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found</w:t>
      </w:r>
      <w:proofErr w:type="spellEnd"/>
      <w:r w:rsidRPr="00CC5505">
        <w:rPr>
          <w:rFonts w:ascii="Book Antiqua" w:hAnsi="Book Antiqua"/>
          <w:bCs/>
          <w:iCs/>
          <w:sz w:val="26"/>
          <w:szCs w:val="26"/>
          <w:lang w:val="id-ID"/>
        </w:rPr>
        <w:t xml:space="preserve"> in Human Resource </w:t>
      </w:r>
      <w:proofErr w:type="spellStart"/>
      <w:r w:rsidRPr="00CC5505">
        <w:rPr>
          <w:rFonts w:ascii="Book Antiqua" w:hAnsi="Book Antiqua"/>
          <w:bCs/>
          <w:iCs/>
          <w:sz w:val="26"/>
          <w:szCs w:val="26"/>
          <w:lang w:val="id-ID"/>
        </w:rPr>
        <w:t>Management</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theory</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while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also</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acknowledging</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the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similarities</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and</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differences</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related</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to</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organizational</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sustainability</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Quality</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criteria</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aligned</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with</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leadership</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competence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should</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emphasize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systems</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that</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involve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all</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components</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of</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the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organization</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enhance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teaching</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and</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learning</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reflect</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the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democratic</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values</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promoted</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by</w:t>
      </w:r>
      <w:proofErr w:type="spellEnd"/>
      <w:r w:rsidRPr="00CC5505">
        <w:rPr>
          <w:rFonts w:ascii="Book Antiqua" w:hAnsi="Book Antiqua"/>
          <w:bCs/>
          <w:iCs/>
          <w:sz w:val="26"/>
          <w:szCs w:val="26"/>
          <w:lang w:val="id-ID"/>
        </w:rPr>
        <w:t xml:space="preserve"> ESD, </w:t>
      </w:r>
      <w:proofErr w:type="spellStart"/>
      <w:r w:rsidRPr="00CC5505">
        <w:rPr>
          <w:rFonts w:ascii="Book Antiqua" w:hAnsi="Book Antiqua"/>
          <w:bCs/>
          <w:iCs/>
          <w:sz w:val="26"/>
          <w:szCs w:val="26"/>
          <w:lang w:val="id-ID"/>
        </w:rPr>
        <w:t>engage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relevant</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stakeholders</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and</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encourage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both</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institutional</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and</w:t>
      </w:r>
      <w:proofErr w:type="spellEnd"/>
      <w:r w:rsidRPr="00CC5505">
        <w:rPr>
          <w:rFonts w:ascii="Book Antiqua" w:hAnsi="Book Antiqua"/>
          <w:bCs/>
          <w:iCs/>
          <w:sz w:val="26"/>
          <w:szCs w:val="26"/>
          <w:lang w:val="id-ID"/>
        </w:rPr>
        <w:t xml:space="preserve"> individual </w:t>
      </w:r>
      <w:proofErr w:type="spellStart"/>
      <w:r w:rsidRPr="00CC5505">
        <w:rPr>
          <w:rFonts w:ascii="Book Antiqua" w:hAnsi="Book Antiqua"/>
          <w:bCs/>
          <w:iCs/>
          <w:sz w:val="26"/>
          <w:szCs w:val="26"/>
          <w:lang w:val="id-ID"/>
        </w:rPr>
        <w:t>learning</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This</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integrated</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approach</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aims</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to</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instill</w:t>
      </w:r>
      <w:proofErr w:type="spellEnd"/>
      <w:r w:rsidRPr="00CC5505">
        <w:rPr>
          <w:rFonts w:ascii="Book Antiqua" w:hAnsi="Book Antiqua"/>
          <w:bCs/>
          <w:iCs/>
          <w:sz w:val="26"/>
          <w:szCs w:val="26"/>
          <w:lang w:val="id-ID"/>
        </w:rPr>
        <w:t xml:space="preserve"> a </w:t>
      </w:r>
      <w:proofErr w:type="spellStart"/>
      <w:r w:rsidRPr="00CC5505">
        <w:rPr>
          <w:rFonts w:ascii="Book Antiqua" w:hAnsi="Book Antiqua"/>
          <w:bCs/>
          <w:iCs/>
          <w:sz w:val="26"/>
          <w:szCs w:val="26"/>
          <w:lang w:val="id-ID"/>
        </w:rPr>
        <w:t>sustainability</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perspective</w:t>
      </w:r>
      <w:proofErr w:type="spellEnd"/>
      <w:r w:rsidRPr="00CC5505">
        <w:rPr>
          <w:rFonts w:ascii="Book Antiqua" w:hAnsi="Book Antiqua"/>
          <w:bCs/>
          <w:iCs/>
          <w:sz w:val="26"/>
          <w:szCs w:val="26"/>
          <w:lang w:val="id-ID"/>
        </w:rPr>
        <w:t xml:space="preserve"> in </w:t>
      </w:r>
      <w:proofErr w:type="spellStart"/>
      <w:r w:rsidRPr="00CC5505">
        <w:rPr>
          <w:rFonts w:ascii="Book Antiqua" w:hAnsi="Book Antiqua"/>
          <w:bCs/>
          <w:iCs/>
          <w:sz w:val="26"/>
          <w:szCs w:val="26"/>
          <w:lang w:val="id-ID"/>
        </w:rPr>
        <w:t>educational</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practices</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reinforcing</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the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importance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of</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leadership</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competence</w:t>
      </w:r>
      <w:proofErr w:type="spellEnd"/>
      <w:r w:rsidRPr="00CC5505">
        <w:rPr>
          <w:rFonts w:ascii="Book Antiqua" w:hAnsi="Book Antiqua"/>
          <w:bCs/>
          <w:iCs/>
          <w:sz w:val="26"/>
          <w:szCs w:val="26"/>
          <w:lang w:val="id-ID"/>
        </w:rPr>
        <w:t xml:space="preserve"> in </w:t>
      </w:r>
      <w:proofErr w:type="spellStart"/>
      <w:r w:rsidRPr="00CC5505">
        <w:rPr>
          <w:rFonts w:ascii="Book Antiqua" w:hAnsi="Book Antiqua"/>
          <w:bCs/>
          <w:iCs/>
          <w:sz w:val="26"/>
          <w:szCs w:val="26"/>
          <w:lang w:val="id-ID"/>
        </w:rPr>
        <w:t>advancing</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sustainable</w:t>
      </w:r>
      <w:proofErr w:type="spellEnd"/>
      <w:r w:rsidRPr="00CC5505">
        <w:rPr>
          <w:rFonts w:ascii="Book Antiqua" w:hAnsi="Book Antiqua"/>
          <w:bCs/>
          <w:iCs/>
          <w:sz w:val="26"/>
          <w:szCs w:val="26"/>
          <w:lang w:val="id-ID"/>
        </w:rPr>
        <w:t xml:space="preserve"> </w:t>
      </w:r>
      <w:proofErr w:type="spellStart"/>
      <w:r w:rsidRPr="00CC5505">
        <w:rPr>
          <w:rFonts w:ascii="Book Antiqua" w:hAnsi="Book Antiqua"/>
          <w:bCs/>
          <w:iCs/>
          <w:sz w:val="26"/>
          <w:szCs w:val="26"/>
          <w:lang w:val="id-ID"/>
        </w:rPr>
        <w:t>development</w:t>
      </w:r>
      <w:proofErr w:type="spellEnd"/>
      <w:r w:rsidRPr="00CC5505">
        <w:rPr>
          <w:rFonts w:ascii="Book Antiqua" w:hAnsi="Book Antiqua"/>
          <w:bCs/>
          <w:iCs/>
          <w:sz w:val="26"/>
          <w:szCs w:val="26"/>
          <w:lang w:val="id-ID"/>
        </w:rPr>
        <w:t xml:space="preserve"> in </w:t>
      </w:r>
      <w:proofErr w:type="spellStart"/>
      <w:r w:rsidRPr="00CC5505">
        <w:rPr>
          <w:rFonts w:ascii="Book Antiqua" w:hAnsi="Book Antiqua"/>
          <w:bCs/>
          <w:iCs/>
          <w:sz w:val="26"/>
          <w:szCs w:val="26"/>
          <w:lang w:val="id-ID"/>
        </w:rPr>
        <w:t>education</w:t>
      </w:r>
      <w:proofErr w:type="spellEnd"/>
      <w:r w:rsidRPr="00CC5505">
        <w:rPr>
          <w:rFonts w:ascii="Book Antiqua" w:hAnsi="Book Antiqua"/>
          <w:bCs/>
          <w:iCs/>
          <w:sz w:val="26"/>
          <w:szCs w:val="26"/>
          <w:lang w:val="id-ID"/>
        </w:rPr>
        <w:t>.</w:t>
      </w:r>
    </w:p>
    <w:p w14:paraId="4ACDA8FC" w14:textId="77777777" w:rsidR="00E41129" w:rsidRPr="00CC5505" w:rsidRDefault="00E41129" w:rsidP="00E41129">
      <w:pPr>
        <w:spacing w:line="276" w:lineRule="auto"/>
        <w:jc w:val="both"/>
        <w:rPr>
          <w:rFonts w:ascii="Book Antiqua" w:hAnsi="Book Antiqua"/>
          <w:sz w:val="26"/>
          <w:szCs w:val="26"/>
        </w:rPr>
      </w:pPr>
    </w:p>
    <w:p w14:paraId="164C9FDB" w14:textId="4C5BB173" w:rsidR="00C7400F" w:rsidRPr="00CC5505" w:rsidRDefault="00C7400F" w:rsidP="00877B1B">
      <w:pPr>
        <w:spacing w:line="276" w:lineRule="auto"/>
        <w:jc w:val="both"/>
        <w:rPr>
          <w:rFonts w:ascii="Book Antiqua" w:hAnsi="Book Antiqua"/>
          <w:b/>
          <w:bCs/>
          <w:sz w:val="26"/>
          <w:szCs w:val="26"/>
        </w:rPr>
      </w:pPr>
      <w:r w:rsidRPr="00CC5505">
        <w:rPr>
          <w:rFonts w:ascii="Book Antiqua" w:hAnsi="Book Antiqua"/>
          <w:b/>
          <w:bCs/>
          <w:sz w:val="26"/>
          <w:szCs w:val="26"/>
        </w:rPr>
        <w:t xml:space="preserve">The integration of sustainability in </w:t>
      </w:r>
      <w:r w:rsidR="00877B1B" w:rsidRPr="00CC5505">
        <w:rPr>
          <w:rFonts w:ascii="Book Antiqua" w:hAnsi="Book Antiqua"/>
          <w:b/>
          <w:bCs/>
          <w:sz w:val="26"/>
          <w:szCs w:val="26"/>
        </w:rPr>
        <w:t xml:space="preserve">school </w:t>
      </w:r>
      <w:r w:rsidRPr="00CC5505">
        <w:rPr>
          <w:rFonts w:ascii="Book Antiqua" w:hAnsi="Book Antiqua"/>
          <w:b/>
          <w:bCs/>
          <w:sz w:val="26"/>
          <w:szCs w:val="26"/>
        </w:rPr>
        <w:t xml:space="preserve">project management </w:t>
      </w:r>
    </w:p>
    <w:p w14:paraId="3B0263E3" w14:textId="3B090860" w:rsidR="00C7400F" w:rsidRPr="00CC5505" w:rsidRDefault="00C7400F" w:rsidP="00E41129">
      <w:pPr>
        <w:spacing w:line="276" w:lineRule="auto"/>
        <w:ind w:firstLine="567"/>
        <w:jc w:val="both"/>
        <w:rPr>
          <w:rFonts w:ascii="Book Antiqua" w:hAnsi="Book Antiqua"/>
          <w:sz w:val="26"/>
          <w:szCs w:val="26"/>
        </w:rPr>
      </w:pPr>
      <w:r w:rsidRPr="00CC5505">
        <w:rPr>
          <w:rFonts w:ascii="Book Antiqua" w:hAnsi="Book Antiqua"/>
          <w:sz w:val="26"/>
          <w:szCs w:val="26"/>
        </w:rPr>
        <w:t>The integration of sustainability in project management is gaining increasing attention and traction</w:t>
      </w:r>
      <w:r w:rsidR="00877B1B" w:rsidRPr="00CC5505">
        <w:rPr>
          <w:rFonts w:ascii="Book Antiqua" w:hAnsi="Book Antiqua"/>
          <w:sz w:val="26"/>
          <w:szCs w:val="26"/>
        </w:rPr>
        <w:t xml:space="preserve"> </w:t>
      </w:r>
      <w:r w:rsidR="00877B1B" w:rsidRPr="00CC5505">
        <w:rPr>
          <w:rFonts w:ascii="Book Antiqua" w:hAnsi="Book Antiqua"/>
          <w:sz w:val="26"/>
          <w:szCs w:val="26"/>
        </w:rPr>
        <w:fldChar w:fldCharType="begin" w:fldLock="1"/>
      </w:r>
      <w:r w:rsidR="00877B1B" w:rsidRPr="00CC5505">
        <w:rPr>
          <w:rFonts w:ascii="Book Antiqua" w:hAnsi="Book Antiqua"/>
          <w:sz w:val="26"/>
          <w:szCs w:val="26"/>
        </w:rPr>
        <w:instrText>ADDIN CSL_CITATION {"citationItems":[{"id":"ITEM-1","itemData":{"DOI":"10.21511/ppm.22(1).2024.16","ISSN":"17277051","abstract":"Sustainable universities play a role in evaluating and reporting on sustainable practices in developing countries. The study aims to identify human capital’s impact on sustainable university performance by implementing sustainable human resource management (sustainable HRM) as a mediating variable. The paper uses a quantitative approach, with a sample of 140 employees consisting of lecturers and educational staff at Esa Unggul University, Jakarta, Indonesia. Data were collected using a Likert scale questionnaire and analyzed using structural equation modeling-partial least squares with SmartPLS 4.0 software. The results showed a positive and significant impact that was statistically proven by a direct impact of human capital and sustainable HRM on sustainable universities as well as an indirect impact of human capital on sustainable universities mediated by sustainable HRM. Furthermore, the results showed that the level of direct influence of human capital on sustainable universities has an influence value of 0.371, where the influence is categorized as weak. The level of indirect influence with sustainable HRM as a mediator between human capital and sustainable universities has an influence of 0.662 with a fairly strong/moderate influence. This proves that the role of sustainable HRM practices is an essential component in realizing a sustainable university. Empirical findings recommend increasing the capacity and quality of lecturers and education staff as the main component of university human capital to achieve sustainable higher education performance. Sustainable HRM practices need to be implemented thoughtfully by universities to improve performance from economic, environmental, and social aspects.","author":[{"dropping-particle":"","family":"Kandhias Akbar","given":"Yunata","non-dropping-particle":"","parse-names":false,"suffix":""},{"dropping-particle":"","family":"Ariana","given":"Sunda","non-dropping-particle":"","parse-names":false,"suffix":""},{"dropping-particle":"","family":"Setyadi","given":"Antonius","non-dropping-particle":"","parse-names":false,"suffix":""},{"dropping-particle":"","family":"Pawirosumarto","given":"Suharno","non-dropping-particle":"","parse-names":false,"suffix":""},{"dropping-particle":"","family":"Endri","given":"Endri","non-dropping-particle":"","parse-names":false,"suffix":""}],"container-title":"Problems and Perspectives in Management","id":"ITEM-1","issue":"1","issued":{"date-parts":[["2024","1","15"]]},"language":"English","note":"Export Date: 21 June 2024; Cited By: 0","page":"182-192","publisher":"LLC CPC Business Perspectives","publisher-place":"Faculty of Economics and Business, Esa Unggul University, Indonesia","title":"Human Capital and Sustainable University: Mediating role of Sustainable Human Resource Management in Indonesia","type":"article-journal","volume":"22"},"uris":["http://www.mendeley.com/documents/?uuid=c5c6180c-f5fa-411d-957d-b86ccd5b512f"]}],"mendeley":{"formattedCitation":"(Kandhias Akbar et al., 2024)","plainTextFormattedCitation":"(Kandhias Akbar et al., 2024)"},"properties":{"noteIndex":0},"schema":"https://github.com/citation-style-language/schema/raw/master/csl-citation.json"}</w:instrText>
      </w:r>
      <w:r w:rsidR="00877B1B" w:rsidRPr="00CC5505">
        <w:rPr>
          <w:rFonts w:ascii="Book Antiqua" w:hAnsi="Book Antiqua"/>
          <w:sz w:val="26"/>
          <w:szCs w:val="26"/>
        </w:rPr>
        <w:fldChar w:fldCharType="separate"/>
      </w:r>
      <w:r w:rsidR="00877B1B" w:rsidRPr="00CC5505">
        <w:rPr>
          <w:rFonts w:ascii="Book Antiqua" w:hAnsi="Book Antiqua"/>
          <w:noProof/>
          <w:sz w:val="26"/>
          <w:szCs w:val="26"/>
        </w:rPr>
        <w:t>(Kandhias Akbar et al., 2024)</w:t>
      </w:r>
      <w:r w:rsidR="00877B1B" w:rsidRPr="00CC5505">
        <w:rPr>
          <w:rFonts w:ascii="Book Antiqua" w:hAnsi="Book Antiqua"/>
          <w:sz w:val="26"/>
          <w:szCs w:val="26"/>
        </w:rPr>
        <w:fldChar w:fldCharType="end"/>
      </w:r>
      <w:r w:rsidRPr="00CC5505">
        <w:rPr>
          <w:rFonts w:ascii="Book Antiqua" w:hAnsi="Book Antiqua"/>
          <w:sz w:val="26"/>
          <w:szCs w:val="26"/>
        </w:rPr>
        <w:t>. Organizations are recognizing the importance of considering environmental, social, and economic factors in project planning and execution. This shift is driven by the growing awareness of the long-term impacts of projects on the environment and society. By incorporating sustainability principles into project management practices, organizations can ensure the efficient use of resources, minimize negative environmental and social consequences, and enhance overall project performance.</w:t>
      </w:r>
    </w:p>
    <w:p w14:paraId="12CD5525" w14:textId="77777777" w:rsidR="00877B1B" w:rsidRPr="00CC5505" w:rsidRDefault="00877B1B" w:rsidP="00877B1B">
      <w:pPr>
        <w:spacing w:line="276" w:lineRule="auto"/>
        <w:ind w:firstLine="567"/>
        <w:jc w:val="both"/>
        <w:rPr>
          <w:rFonts w:ascii="Book Antiqua" w:hAnsi="Book Antiqua"/>
          <w:sz w:val="26"/>
          <w:szCs w:val="26"/>
        </w:rPr>
      </w:pPr>
      <w:r w:rsidRPr="00CC5505">
        <w:rPr>
          <w:rFonts w:ascii="Book Antiqua" w:hAnsi="Book Antiqua"/>
          <w:sz w:val="26"/>
          <w:szCs w:val="26"/>
        </w:rPr>
        <w:t xml:space="preserve">Contemporary scholarship emphasizes a shift towards transformational and ethical leadership paradigms that align educational goals with global sustainability frameworks. Recent work highlights the need for leaders who not only facilitate academic excellence but also foster values and practices supporting environmental stewardship, social justice, and economic viability </w:t>
      </w:r>
      <w:r w:rsidRPr="00CC5505">
        <w:rPr>
          <w:rFonts w:ascii="Book Antiqua" w:hAnsi="Book Antiqua"/>
          <w:sz w:val="26"/>
          <w:szCs w:val="26"/>
        </w:rPr>
        <w:lastRenderedPageBreak/>
        <w:t>in Muslim educational institutions. However, an integrative review shows limited empirical research directly connecting Islamic leadership principles with sustainable development goals, underscoring an emerging field of inquiry.</w:t>
      </w:r>
    </w:p>
    <w:p w14:paraId="235EFC1A" w14:textId="6A482C81" w:rsidR="00877B1B" w:rsidRPr="00CC5505" w:rsidRDefault="00877B1B" w:rsidP="00877B1B">
      <w:pPr>
        <w:spacing w:line="276" w:lineRule="auto"/>
        <w:ind w:firstLine="567"/>
        <w:jc w:val="both"/>
        <w:rPr>
          <w:rFonts w:ascii="Book Antiqua" w:hAnsi="Book Antiqua"/>
          <w:sz w:val="26"/>
          <w:szCs w:val="26"/>
        </w:rPr>
      </w:pPr>
      <w:r w:rsidRPr="00CC5505">
        <w:rPr>
          <w:rFonts w:ascii="Book Antiqua" w:hAnsi="Book Antiqua"/>
          <w:sz w:val="26"/>
          <w:szCs w:val="26"/>
        </w:rPr>
        <w:t>The grand theoretical foundation guiding this research is the Transformational Leadership Theory, which postulates that effective leaders inspire and motivate followers to transcend self-interest for collective advancement, harmonizing ethical guidance with visionary change. In the context of Islamic education, this theory complements Sustainable Development frameworks by advocating leadership that models moral responsibility, community engagement, and long-term societal well-being.</w:t>
      </w:r>
    </w:p>
    <w:p w14:paraId="1E09D97F" w14:textId="77777777" w:rsidR="00C7400F" w:rsidRPr="00CC5505" w:rsidRDefault="00C7400F" w:rsidP="00877B1B">
      <w:pPr>
        <w:spacing w:line="276" w:lineRule="auto"/>
        <w:jc w:val="both"/>
        <w:rPr>
          <w:rFonts w:ascii="Book Antiqua" w:hAnsi="Book Antiqua"/>
          <w:sz w:val="26"/>
          <w:szCs w:val="26"/>
        </w:rPr>
      </w:pPr>
    </w:p>
    <w:p w14:paraId="4E0F6D56" w14:textId="082AE7C8" w:rsidR="00877B1B" w:rsidRPr="00CC5505" w:rsidRDefault="00877B1B" w:rsidP="00877B1B">
      <w:pPr>
        <w:spacing w:line="276" w:lineRule="auto"/>
        <w:jc w:val="both"/>
        <w:rPr>
          <w:rFonts w:ascii="Book Antiqua" w:hAnsi="Book Antiqua"/>
          <w:b/>
          <w:bCs/>
          <w:color w:val="FF0000"/>
          <w:sz w:val="26"/>
          <w:szCs w:val="26"/>
        </w:rPr>
      </w:pPr>
      <w:r w:rsidRPr="00CC5505">
        <w:rPr>
          <w:rFonts w:ascii="Book Antiqua" w:hAnsi="Book Antiqua"/>
          <w:b/>
          <w:bCs/>
          <w:color w:val="FF0000"/>
          <w:sz w:val="26"/>
          <w:szCs w:val="26"/>
        </w:rPr>
        <w:t xml:space="preserve">Kasih Sub </w:t>
      </w:r>
      <w:proofErr w:type="spellStart"/>
      <w:r w:rsidRPr="00CC5505">
        <w:rPr>
          <w:rFonts w:ascii="Book Antiqua" w:hAnsi="Book Antiqua"/>
          <w:b/>
          <w:bCs/>
          <w:color w:val="FF0000"/>
          <w:sz w:val="26"/>
          <w:szCs w:val="26"/>
        </w:rPr>
        <w:t>Judul</w:t>
      </w:r>
      <w:proofErr w:type="spellEnd"/>
    </w:p>
    <w:p w14:paraId="739CA683" w14:textId="0F3C9480" w:rsidR="00877B1B" w:rsidRPr="00CC5505" w:rsidRDefault="00877B1B" w:rsidP="00877B1B">
      <w:pPr>
        <w:spacing w:line="276" w:lineRule="auto"/>
        <w:ind w:firstLine="567"/>
        <w:jc w:val="both"/>
        <w:rPr>
          <w:rFonts w:ascii="Book Antiqua" w:hAnsi="Book Antiqua"/>
          <w:sz w:val="26"/>
          <w:szCs w:val="26"/>
        </w:rPr>
      </w:pPr>
      <w:r w:rsidRPr="00CC5505">
        <w:rPr>
          <w:rFonts w:ascii="Book Antiqua" w:hAnsi="Book Antiqua"/>
          <w:sz w:val="26"/>
          <w:szCs w:val="26"/>
        </w:rPr>
        <w:t>Research on sustainability in project management marks a significant paradigm shift from traditional practices by introducing a comprehensive approach that integrates sustainability principles throughout the project lifecycle. This evolving perspective extends beyond the conventional focus on time, cost, and quality to encompass environmental impacts, social responsibility, and stakeholder engagement. By adopting this framework, project managers can proactively address sustainability challenges, uphold ethical standards, and generate long-term value for both organizations and society.</w:t>
      </w:r>
    </w:p>
    <w:p w14:paraId="6DE7A27F" w14:textId="5BACEFA4" w:rsidR="00C7400F" w:rsidRPr="00CC5505" w:rsidRDefault="00877B1B" w:rsidP="00877B1B">
      <w:pPr>
        <w:spacing w:line="276" w:lineRule="auto"/>
        <w:ind w:firstLine="567"/>
        <w:jc w:val="both"/>
        <w:rPr>
          <w:rFonts w:ascii="Book Antiqua" w:hAnsi="Book Antiqua"/>
          <w:sz w:val="26"/>
          <w:szCs w:val="26"/>
        </w:rPr>
      </w:pPr>
      <w:r w:rsidRPr="00CC5505">
        <w:rPr>
          <w:rFonts w:ascii="Book Antiqua" w:hAnsi="Book Antiqua"/>
          <w:sz w:val="26"/>
          <w:szCs w:val="26"/>
        </w:rPr>
        <w:t xml:space="preserve">Within the context of higher education institutions such as IAI Batanghari and UIN Syarif </w:t>
      </w:r>
      <w:proofErr w:type="spellStart"/>
      <w:r w:rsidRPr="00CC5505">
        <w:rPr>
          <w:rFonts w:ascii="Book Antiqua" w:hAnsi="Book Antiqua"/>
          <w:sz w:val="26"/>
          <w:szCs w:val="26"/>
        </w:rPr>
        <w:t>Hidayatullah</w:t>
      </w:r>
      <w:proofErr w:type="spellEnd"/>
      <w:r w:rsidRPr="00CC5505">
        <w:rPr>
          <w:rFonts w:ascii="Book Antiqua" w:hAnsi="Book Antiqua"/>
          <w:sz w:val="26"/>
          <w:szCs w:val="26"/>
        </w:rPr>
        <w:t xml:space="preserve"> Jakarta, this emerging paradigm encourages the incorporation of sustainable practices into project management frameworks. These institutions actively promote awareness among future leaders and project managers about the importance of balancing economic outcomes with environmental and social considerations. At IAI Batanghari, efforts to embed sustainability into curricula and student projects aim to cultivate professionals equipped to address global challenges through sustainable project management. Similarly, UIN Syarif </w:t>
      </w:r>
      <w:proofErr w:type="spellStart"/>
      <w:r w:rsidRPr="00CC5505">
        <w:rPr>
          <w:rFonts w:ascii="Book Antiqua" w:hAnsi="Book Antiqua"/>
          <w:sz w:val="26"/>
          <w:szCs w:val="26"/>
        </w:rPr>
        <w:t>Hidayatullah</w:t>
      </w:r>
      <w:proofErr w:type="spellEnd"/>
      <w:r w:rsidRPr="00CC5505">
        <w:rPr>
          <w:rFonts w:ascii="Book Antiqua" w:hAnsi="Book Antiqua"/>
          <w:sz w:val="26"/>
          <w:szCs w:val="26"/>
        </w:rPr>
        <w:t xml:space="preserve"> Jakarta engages in research and community outreach initiatives that emphasize sustainability’s role across diverse project management contexts. Together, these efforts contribute to advancing project management theory toward a holistic model aligned with sustainable development principles, thereby preparing students to lead projects that foster enduring positive societal impact.</w:t>
      </w:r>
    </w:p>
    <w:p w14:paraId="0DCE28DF" w14:textId="77777777" w:rsidR="00877B1B" w:rsidRPr="00CC5505" w:rsidRDefault="00877B1B" w:rsidP="00E41129">
      <w:pPr>
        <w:spacing w:line="276" w:lineRule="auto"/>
        <w:jc w:val="both"/>
        <w:rPr>
          <w:rFonts w:ascii="Book Antiqua" w:hAnsi="Book Antiqua"/>
          <w:b/>
          <w:bCs/>
          <w:sz w:val="26"/>
          <w:szCs w:val="26"/>
        </w:rPr>
      </w:pPr>
    </w:p>
    <w:p w14:paraId="78D4B46C" w14:textId="5BEF7E53" w:rsidR="00C7400F" w:rsidRPr="00CC5505" w:rsidRDefault="00C7400F" w:rsidP="00E41129">
      <w:pPr>
        <w:spacing w:line="276" w:lineRule="auto"/>
        <w:jc w:val="both"/>
        <w:rPr>
          <w:rFonts w:ascii="Book Antiqua" w:hAnsi="Book Antiqua"/>
          <w:b/>
          <w:bCs/>
          <w:sz w:val="26"/>
          <w:szCs w:val="26"/>
        </w:rPr>
      </w:pPr>
      <w:r w:rsidRPr="00CC5505">
        <w:rPr>
          <w:rFonts w:ascii="Book Antiqua" w:hAnsi="Book Antiqua"/>
          <w:b/>
          <w:bCs/>
          <w:sz w:val="26"/>
          <w:szCs w:val="26"/>
        </w:rPr>
        <w:lastRenderedPageBreak/>
        <w:t xml:space="preserve">Distinctive features are a societal perspective, a management for </w:t>
      </w:r>
      <w:proofErr w:type="gramStart"/>
      <w:r w:rsidRPr="00CC5505">
        <w:rPr>
          <w:rFonts w:ascii="Book Antiqua" w:hAnsi="Book Antiqua"/>
          <w:b/>
          <w:bCs/>
          <w:sz w:val="26"/>
          <w:szCs w:val="26"/>
        </w:rPr>
        <w:t>stakeholders</w:t>
      </w:r>
      <w:proofErr w:type="gramEnd"/>
      <w:r w:rsidRPr="00CC5505">
        <w:rPr>
          <w:rFonts w:ascii="Book Antiqua" w:hAnsi="Book Antiqua"/>
          <w:b/>
          <w:bCs/>
          <w:sz w:val="26"/>
          <w:szCs w:val="26"/>
        </w:rPr>
        <w:t xml:space="preserve"> approach, and applying the triple bottom line</w:t>
      </w:r>
    </w:p>
    <w:p w14:paraId="22D41DE8" w14:textId="5F0ADB74" w:rsidR="00877B1B" w:rsidRPr="00CC5505" w:rsidRDefault="00877B1B" w:rsidP="00877B1B">
      <w:pPr>
        <w:spacing w:line="276" w:lineRule="auto"/>
        <w:ind w:firstLine="567"/>
        <w:jc w:val="both"/>
        <w:rPr>
          <w:rFonts w:ascii="Book Antiqua" w:hAnsi="Book Antiqua"/>
          <w:sz w:val="26"/>
          <w:szCs w:val="26"/>
        </w:rPr>
      </w:pPr>
      <w:r w:rsidRPr="00CC5505">
        <w:rPr>
          <w:rFonts w:ascii="Book Antiqua" w:hAnsi="Book Antiqua"/>
          <w:sz w:val="26"/>
          <w:szCs w:val="26"/>
        </w:rPr>
        <w:t>Sustainability in project management encompasses distinct characteristics that differentiate it from traditional project management approaches. First, it adopts a societal perspective, recognizing that projects have broader implications beyond immediate stakeholders. This viewpoint encourages project managers to consider social, cultural, and ethical dimensions and to engage relevant societal actors throughout the project process.</w:t>
      </w:r>
    </w:p>
    <w:p w14:paraId="1BD7E638" w14:textId="719BE00A" w:rsidR="00877B1B" w:rsidRPr="00CC5505" w:rsidRDefault="00877B1B" w:rsidP="00877B1B">
      <w:pPr>
        <w:spacing w:line="276" w:lineRule="auto"/>
        <w:ind w:firstLine="567"/>
        <w:jc w:val="both"/>
        <w:rPr>
          <w:rFonts w:ascii="Book Antiqua" w:hAnsi="Book Antiqua"/>
          <w:sz w:val="26"/>
          <w:szCs w:val="26"/>
        </w:rPr>
      </w:pPr>
      <w:r w:rsidRPr="00CC5505">
        <w:rPr>
          <w:rFonts w:ascii="Book Antiqua" w:hAnsi="Book Antiqua"/>
          <w:sz w:val="26"/>
          <w:szCs w:val="26"/>
        </w:rPr>
        <w:t>Second, sustainability embraces a stakeholder-oriented management approach, acknowledging that projects involve multiple stakeholders with diverse interests and concerns. Project managers must actively engage and collaborate with these stakeholders throughout the project lifecycle, ensuring their input is valued, their concerns are addressed, and mutually beneficial relationships are fostered.</w:t>
      </w:r>
    </w:p>
    <w:p w14:paraId="47D30B33" w14:textId="44A7C0F2" w:rsidR="00877B1B" w:rsidRPr="00CC5505" w:rsidRDefault="00877B1B" w:rsidP="00877B1B">
      <w:pPr>
        <w:spacing w:line="276" w:lineRule="auto"/>
        <w:ind w:firstLine="567"/>
        <w:jc w:val="both"/>
        <w:rPr>
          <w:rFonts w:ascii="Book Antiqua" w:hAnsi="Book Antiqua"/>
          <w:sz w:val="26"/>
          <w:szCs w:val="26"/>
        </w:rPr>
      </w:pPr>
      <w:r w:rsidRPr="00CC5505">
        <w:rPr>
          <w:rFonts w:ascii="Book Antiqua" w:hAnsi="Book Antiqua"/>
          <w:sz w:val="26"/>
          <w:szCs w:val="26"/>
        </w:rPr>
        <w:t>Lastly, sustainability applies the triple bottom line concept, which requires balancing the economic, environmental, and social impacts of projects. This holistic approach aims to achieve sustainable outcomes by integrating economic prosperity, environmental stewardship, and social well-being. By measuring and managing project performance across these three dimensions, project managers can effectively incorporate sustainability considerations into their decision-making processes.</w:t>
      </w:r>
    </w:p>
    <w:p w14:paraId="18C1D4BB" w14:textId="77777777" w:rsidR="00877B1B" w:rsidRPr="00CC5505" w:rsidRDefault="00877B1B" w:rsidP="00877B1B">
      <w:pPr>
        <w:spacing w:line="276" w:lineRule="auto"/>
        <w:ind w:firstLine="567"/>
        <w:jc w:val="both"/>
        <w:rPr>
          <w:rFonts w:ascii="Book Antiqua" w:hAnsi="Book Antiqua"/>
          <w:sz w:val="26"/>
          <w:szCs w:val="26"/>
        </w:rPr>
      </w:pPr>
    </w:p>
    <w:p w14:paraId="166CCAFB" w14:textId="3A22102B" w:rsidR="00C7400F" w:rsidRPr="00CC5505" w:rsidRDefault="00C7400F" w:rsidP="00E41129">
      <w:pPr>
        <w:spacing w:line="276" w:lineRule="auto"/>
        <w:ind w:firstLine="567"/>
        <w:jc w:val="both"/>
        <w:rPr>
          <w:rFonts w:ascii="Book Antiqua" w:hAnsi="Book Antiqua"/>
          <w:sz w:val="26"/>
          <w:szCs w:val="26"/>
        </w:rPr>
      </w:pPr>
      <w:r w:rsidRPr="00CC5505">
        <w:rPr>
          <w:rFonts w:ascii="Book Antiqua" w:hAnsi="Book Antiqua"/>
          <w:sz w:val="26"/>
          <w:szCs w:val="26"/>
        </w:rPr>
        <w:t>The integration of sustainability in project management represents a significant shift in the way projects are planned, executed, and evaluated. It offers a more comprehensive and forward-thinking approach that aligns projects with the broader goals of sustainability and societal well-being.</w:t>
      </w:r>
    </w:p>
    <w:p w14:paraId="137F20A1" w14:textId="1BED42CD" w:rsidR="00071DF7" w:rsidRPr="00CC5505" w:rsidRDefault="00071DF7" w:rsidP="00E41129">
      <w:pPr>
        <w:spacing w:line="276" w:lineRule="auto"/>
        <w:ind w:firstLine="567"/>
        <w:jc w:val="both"/>
        <w:rPr>
          <w:rFonts w:ascii="Book Antiqua" w:hAnsi="Book Antiqua"/>
          <w:sz w:val="26"/>
          <w:szCs w:val="26"/>
        </w:rPr>
      </w:pPr>
      <w:r w:rsidRPr="00CC5505">
        <w:rPr>
          <w:rFonts w:ascii="Book Antiqua" w:hAnsi="Book Antiqua"/>
          <w:sz w:val="26"/>
          <w:szCs w:val="26"/>
        </w:rPr>
        <w:t xml:space="preserve">The research into sustainability in project management represents a new school of thinking in project management, particularly in the context of higher education institutions such as IAI Batanghari and UIN Syarif </w:t>
      </w:r>
      <w:proofErr w:type="spellStart"/>
      <w:r w:rsidRPr="00CC5505">
        <w:rPr>
          <w:rFonts w:ascii="Book Antiqua" w:hAnsi="Book Antiqua"/>
          <w:sz w:val="26"/>
          <w:szCs w:val="26"/>
        </w:rPr>
        <w:t>Hidayatullah</w:t>
      </w:r>
      <w:proofErr w:type="spellEnd"/>
      <w:r w:rsidRPr="00CC5505">
        <w:rPr>
          <w:rFonts w:ascii="Book Antiqua" w:hAnsi="Book Antiqua"/>
          <w:sz w:val="26"/>
          <w:szCs w:val="26"/>
        </w:rPr>
        <w:t xml:space="preserve"> Jakarta. This emerging paradigm emphasizes the integration of sustainable practices into project management frameworks, encouraging future leaders and project managers to consider not only the economic outcomes but also the environmental and social impacts of their projects. At IAI Batanghari, initiatives aimed at embedding sustainability into the curriculum and student projects are being explored, fostering a generation of professionals who are equipped to tackle global challenges through sustainable project management </w:t>
      </w:r>
      <w:r w:rsidRPr="00CC5505">
        <w:rPr>
          <w:rFonts w:ascii="Book Antiqua" w:hAnsi="Book Antiqua"/>
          <w:sz w:val="26"/>
          <w:szCs w:val="26"/>
        </w:rPr>
        <w:lastRenderedPageBreak/>
        <w:t xml:space="preserve">approaches. Similarly, UIN Syarif </w:t>
      </w:r>
      <w:proofErr w:type="spellStart"/>
      <w:r w:rsidRPr="00CC5505">
        <w:rPr>
          <w:rFonts w:ascii="Book Antiqua" w:hAnsi="Book Antiqua"/>
          <w:sz w:val="26"/>
          <w:szCs w:val="26"/>
        </w:rPr>
        <w:t>Hidayatullah</w:t>
      </w:r>
      <w:proofErr w:type="spellEnd"/>
      <w:r w:rsidRPr="00CC5505">
        <w:rPr>
          <w:rFonts w:ascii="Book Antiqua" w:hAnsi="Book Antiqua"/>
          <w:sz w:val="26"/>
          <w:szCs w:val="26"/>
        </w:rPr>
        <w:t xml:space="preserve"> Jakarta is actively engaging in research and community outreach programs that highlight the importance of sustainability in various project management contexts. Together, these institutions are contributing to the evolution of project management theory by advocating for a holistic approach that aligns with the principles of sustainable development, ultimately preparing students to lead projects that create lasting positive change in society.</w:t>
      </w:r>
    </w:p>
    <w:p w14:paraId="2AD18DB7" w14:textId="77777777" w:rsidR="001B0948" w:rsidRPr="00CC5505" w:rsidRDefault="001B0948" w:rsidP="00E41129">
      <w:pPr>
        <w:spacing w:line="276" w:lineRule="auto"/>
        <w:ind w:firstLine="567"/>
        <w:jc w:val="both"/>
        <w:rPr>
          <w:rFonts w:ascii="Book Antiqua" w:hAnsi="Book Antiqua"/>
          <w:sz w:val="26"/>
          <w:szCs w:val="26"/>
        </w:rPr>
      </w:pPr>
    </w:p>
    <w:p w14:paraId="784F6604" w14:textId="2564BDAA" w:rsidR="001B0948" w:rsidRPr="00CC5505" w:rsidRDefault="001B0948" w:rsidP="00E41129">
      <w:pPr>
        <w:spacing w:line="276" w:lineRule="auto"/>
        <w:jc w:val="both"/>
        <w:rPr>
          <w:rFonts w:ascii="Book Antiqua" w:hAnsi="Book Antiqua"/>
          <w:b/>
          <w:bCs/>
          <w:sz w:val="26"/>
          <w:szCs w:val="26"/>
        </w:rPr>
      </w:pPr>
      <w:r w:rsidRPr="00CC5505">
        <w:rPr>
          <w:rFonts w:ascii="Book Antiqua" w:hAnsi="Book Antiqua"/>
          <w:b/>
          <w:bCs/>
          <w:sz w:val="26"/>
          <w:szCs w:val="26"/>
        </w:rPr>
        <w:t>Competence in Sustainable Development</w:t>
      </w:r>
    </w:p>
    <w:p w14:paraId="1B437B54" w14:textId="77777777" w:rsidR="001B0948" w:rsidRPr="00CC5505" w:rsidRDefault="001B0948" w:rsidP="00E41129">
      <w:pPr>
        <w:spacing w:line="276" w:lineRule="auto"/>
        <w:ind w:firstLine="567"/>
        <w:jc w:val="both"/>
        <w:rPr>
          <w:rFonts w:ascii="Book Antiqua" w:hAnsi="Book Antiqua"/>
          <w:sz w:val="26"/>
          <w:szCs w:val="26"/>
        </w:rPr>
      </w:pPr>
      <w:r w:rsidRPr="00CC5505">
        <w:rPr>
          <w:rFonts w:ascii="Book Antiqua" w:hAnsi="Book Antiqua"/>
          <w:sz w:val="26"/>
          <w:szCs w:val="26"/>
        </w:rPr>
        <w:t>In the context of Education for Sustainable Development (ESD), several key competences are crucial for individuals to effectively engage in solving complex and controversial problems. These competences encompass a range of qualities such as commitment, passion, knowledge, and self-efficacy.</w:t>
      </w:r>
    </w:p>
    <w:p w14:paraId="06DF0F2D" w14:textId="77777777" w:rsidR="001B0948" w:rsidRPr="00CC5505" w:rsidRDefault="001B0948" w:rsidP="00E41129">
      <w:pPr>
        <w:spacing w:line="276" w:lineRule="auto"/>
        <w:ind w:firstLine="567"/>
        <w:jc w:val="both"/>
        <w:rPr>
          <w:rFonts w:ascii="Book Antiqua" w:hAnsi="Book Antiqua"/>
          <w:sz w:val="26"/>
          <w:szCs w:val="26"/>
        </w:rPr>
      </w:pPr>
      <w:r w:rsidRPr="00CC5505">
        <w:rPr>
          <w:rFonts w:ascii="Book Antiqua" w:hAnsi="Book Antiqua"/>
          <w:sz w:val="26"/>
          <w:szCs w:val="26"/>
        </w:rPr>
        <w:t>Commitment is an essential competence that reflects an individual's dedication and perseverance towards sustainable development. It involves a deep sense of responsibility and a long-term commitment to making a positive impact on the environment and society. Individuals who possess a strong commitment to sustainability are more likely to actively seek solutions and engage in sustainable practices.</w:t>
      </w:r>
    </w:p>
    <w:p w14:paraId="3655D3AA" w14:textId="77777777" w:rsidR="001B0948" w:rsidRPr="00CC5505" w:rsidRDefault="001B0948" w:rsidP="00E41129">
      <w:pPr>
        <w:spacing w:line="276" w:lineRule="auto"/>
        <w:ind w:firstLine="567"/>
        <w:jc w:val="both"/>
        <w:rPr>
          <w:rFonts w:ascii="Book Antiqua" w:hAnsi="Book Antiqua"/>
          <w:sz w:val="26"/>
          <w:szCs w:val="26"/>
        </w:rPr>
      </w:pPr>
      <w:r w:rsidRPr="00CC5505">
        <w:rPr>
          <w:rFonts w:ascii="Book Antiqua" w:hAnsi="Book Antiqua"/>
          <w:sz w:val="26"/>
          <w:szCs w:val="26"/>
        </w:rPr>
        <w:t xml:space="preserve">Passion is another important competence that drives individuals to </w:t>
      </w:r>
      <w:proofErr w:type="gramStart"/>
      <w:r w:rsidRPr="00CC5505">
        <w:rPr>
          <w:rFonts w:ascii="Book Antiqua" w:hAnsi="Book Antiqua"/>
          <w:sz w:val="26"/>
          <w:szCs w:val="26"/>
        </w:rPr>
        <w:t>take action</w:t>
      </w:r>
      <w:proofErr w:type="gramEnd"/>
      <w:r w:rsidRPr="00CC5505">
        <w:rPr>
          <w:rFonts w:ascii="Book Antiqua" w:hAnsi="Book Antiqua"/>
          <w:sz w:val="26"/>
          <w:szCs w:val="26"/>
        </w:rPr>
        <w:t xml:space="preserve"> and advocate for sustainable development. Passion fuels motivation and enthusiasm, inspiring individuals to go above and beyond in their efforts to address sustainability challenges. It is this passion that propels individuals to become change agents and catalysts for sustainable change.</w:t>
      </w:r>
    </w:p>
    <w:p w14:paraId="15A601F1" w14:textId="77777777" w:rsidR="001B0948" w:rsidRPr="00CC5505" w:rsidRDefault="001B0948" w:rsidP="00E41129">
      <w:pPr>
        <w:spacing w:line="276" w:lineRule="auto"/>
        <w:ind w:firstLine="567"/>
        <w:jc w:val="both"/>
        <w:rPr>
          <w:rFonts w:ascii="Book Antiqua" w:hAnsi="Book Antiqua"/>
          <w:sz w:val="26"/>
          <w:szCs w:val="26"/>
        </w:rPr>
      </w:pPr>
      <w:r w:rsidRPr="00CC5505">
        <w:rPr>
          <w:rFonts w:ascii="Book Antiqua" w:hAnsi="Book Antiqua"/>
          <w:sz w:val="26"/>
          <w:szCs w:val="26"/>
        </w:rPr>
        <w:t xml:space="preserve">Knowledge is a fundamental competence in ESD, encompassing both a broad understanding of sustainability concepts and a deep comprehension of the interconnectedness of environmental, social, and economic systems. Individuals with a solid knowledge base in sustainability are better equipped to </w:t>
      </w:r>
      <w:proofErr w:type="spellStart"/>
      <w:r w:rsidRPr="00CC5505">
        <w:rPr>
          <w:rFonts w:ascii="Book Antiqua" w:hAnsi="Book Antiqua"/>
          <w:sz w:val="26"/>
          <w:szCs w:val="26"/>
        </w:rPr>
        <w:t>analyze</w:t>
      </w:r>
      <w:proofErr w:type="spellEnd"/>
      <w:r w:rsidRPr="00CC5505">
        <w:rPr>
          <w:rFonts w:ascii="Book Antiqua" w:hAnsi="Book Antiqua"/>
          <w:sz w:val="26"/>
          <w:szCs w:val="26"/>
        </w:rPr>
        <w:t xml:space="preserve"> complex problems, identify potential solutions, and make informed decisions that promote sustainable outcomes.</w:t>
      </w:r>
    </w:p>
    <w:p w14:paraId="1CA54495" w14:textId="77777777" w:rsidR="001B0948" w:rsidRPr="00CC5505" w:rsidRDefault="001B0948" w:rsidP="00E41129">
      <w:pPr>
        <w:spacing w:line="276" w:lineRule="auto"/>
        <w:ind w:firstLine="567"/>
        <w:jc w:val="both"/>
        <w:rPr>
          <w:rFonts w:ascii="Book Antiqua" w:hAnsi="Book Antiqua"/>
          <w:sz w:val="26"/>
          <w:szCs w:val="26"/>
        </w:rPr>
      </w:pPr>
      <w:r w:rsidRPr="00CC5505">
        <w:rPr>
          <w:rFonts w:ascii="Book Antiqua" w:hAnsi="Book Antiqua"/>
          <w:sz w:val="26"/>
          <w:szCs w:val="26"/>
        </w:rPr>
        <w:t>Self-efficacy is a psychological competence that reflects an individual's belief in their ability to effectively contribute to solving controversial problems. It involves having confidence in one's skills, knowledge, and capacity to make a difference. Individuals with high self-efficacy are more likely to take initiative, persevere in the face of challenges, and actively seek opportunities to engage in sustainable development efforts.</w:t>
      </w:r>
    </w:p>
    <w:p w14:paraId="0B44CD4B" w14:textId="77777777" w:rsidR="001B0948" w:rsidRPr="00CC5505" w:rsidRDefault="001B0948" w:rsidP="00E41129">
      <w:pPr>
        <w:spacing w:line="276" w:lineRule="auto"/>
        <w:ind w:firstLine="567"/>
        <w:jc w:val="both"/>
        <w:rPr>
          <w:rFonts w:ascii="Book Antiqua" w:hAnsi="Book Antiqua"/>
          <w:sz w:val="26"/>
          <w:szCs w:val="26"/>
        </w:rPr>
      </w:pPr>
      <w:r w:rsidRPr="00CC5505">
        <w:rPr>
          <w:rFonts w:ascii="Book Antiqua" w:hAnsi="Book Antiqua"/>
          <w:sz w:val="26"/>
          <w:szCs w:val="26"/>
        </w:rPr>
        <w:lastRenderedPageBreak/>
        <w:t xml:space="preserve">In addition to these competences, the concept of Leadership Competence is introduced as a specific framework to articulate the competence of individuals to engage in solving challenges related to Education for Sustainable Development. Leadership Competence encompasses a set of skills, traits, and </w:t>
      </w:r>
      <w:proofErr w:type="spellStart"/>
      <w:r w:rsidRPr="00CC5505">
        <w:rPr>
          <w:rFonts w:ascii="Book Antiqua" w:hAnsi="Book Antiqua"/>
          <w:sz w:val="26"/>
          <w:szCs w:val="26"/>
        </w:rPr>
        <w:t>behaviors</w:t>
      </w:r>
      <w:proofErr w:type="spellEnd"/>
      <w:r w:rsidRPr="00CC5505">
        <w:rPr>
          <w:rFonts w:ascii="Book Antiqua" w:hAnsi="Book Antiqua"/>
          <w:sz w:val="26"/>
          <w:szCs w:val="26"/>
        </w:rPr>
        <w:t xml:space="preserve"> that enable individuals to effectively lead and influence others towards sustainable outcomes. It involves qualities such as vision, strategic thinking, collaboration, and the ability to empower and inspire others to </w:t>
      </w:r>
      <w:proofErr w:type="gramStart"/>
      <w:r w:rsidRPr="00CC5505">
        <w:rPr>
          <w:rFonts w:ascii="Book Antiqua" w:hAnsi="Book Antiqua"/>
          <w:sz w:val="26"/>
          <w:szCs w:val="26"/>
        </w:rPr>
        <w:t>take action</w:t>
      </w:r>
      <w:proofErr w:type="gramEnd"/>
      <w:r w:rsidRPr="00CC5505">
        <w:rPr>
          <w:rFonts w:ascii="Book Antiqua" w:hAnsi="Book Antiqua"/>
          <w:sz w:val="26"/>
          <w:szCs w:val="26"/>
        </w:rPr>
        <w:t>.</w:t>
      </w:r>
    </w:p>
    <w:p w14:paraId="62743FC2" w14:textId="69845C75" w:rsidR="001B0948" w:rsidRPr="00CC5505" w:rsidRDefault="001B0948" w:rsidP="00E41129">
      <w:pPr>
        <w:spacing w:line="276" w:lineRule="auto"/>
        <w:ind w:firstLine="567"/>
        <w:jc w:val="both"/>
        <w:rPr>
          <w:rFonts w:ascii="Book Antiqua" w:hAnsi="Book Antiqua"/>
          <w:sz w:val="26"/>
          <w:szCs w:val="26"/>
        </w:rPr>
      </w:pPr>
      <w:r w:rsidRPr="00CC5505">
        <w:rPr>
          <w:rFonts w:ascii="Book Antiqua" w:hAnsi="Book Antiqua"/>
          <w:sz w:val="26"/>
          <w:szCs w:val="26"/>
        </w:rPr>
        <w:t>By developing and nurturing these competences, individuals can become effective agents of change in the pursuit of Education for Sustainable Development. They can contribute to the collective effort to address sustainability challenges, promote responsible and ethical practices, and create a more sustainable future for all.</w:t>
      </w:r>
    </w:p>
    <w:p w14:paraId="47B31F67" w14:textId="77777777" w:rsidR="00071DF7" w:rsidRPr="00CC5505" w:rsidRDefault="00071DF7" w:rsidP="00E41129">
      <w:pPr>
        <w:spacing w:line="276" w:lineRule="auto"/>
        <w:ind w:firstLine="567"/>
        <w:jc w:val="both"/>
        <w:rPr>
          <w:rFonts w:ascii="Book Antiqua" w:hAnsi="Book Antiqua"/>
          <w:sz w:val="26"/>
          <w:szCs w:val="26"/>
        </w:rPr>
      </w:pPr>
      <w:r w:rsidRPr="00CC5505">
        <w:rPr>
          <w:rFonts w:ascii="Book Antiqua" w:hAnsi="Book Antiqua"/>
          <w:sz w:val="26"/>
          <w:szCs w:val="26"/>
        </w:rPr>
        <w:t xml:space="preserve">"Competence in Sustainable Development" is increasingly recognized as a critical area of focus within higher education, particularly at institutions like IAI Batanghari and UIN Syarif </w:t>
      </w:r>
      <w:proofErr w:type="spellStart"/>
      <w:r w:rsidRPr="00CC5505">
        <w:rPr>
          <w:rFonts w:ascii="Book Antiqua" w:hAnsi="Book Antiqua"/>
          <w:sz w:val="26"/>
          <w:szCs w:val="26"/>
        </w:rPr>
        <w:t>Hidayatullah</w:t>
      </w:r>
      <w:proofErr w:type="spellEnd"/>
      <w:r w:rsidRPr="00CC5505">
        <w:rPr>
          <w:rFonts w:ascii="Book Antiqua" w:hAnsi="Book Antiqua"/>
          <w:sz w:val="26"/>
          <w:szCs w:val="26"/>
        </w:rPr>
        <w:t xml:space="preserve"> Jakarta. At IAI Batanghari, the curriculum is designed to equip students with the necessary skills and knowledge to address sustainability challenges through interdisciplinary approaches. Students engage in hands-on projects that emphasize environmental stewardship, social responsibility, and economic viability, thereby fostering a comprehensive understanding of sustainable development principles. This practical experience is complemented by theoretical coursework that covers global sustainability frameworks and local contexts, ensuring that graduates are well-prepared to contribute effectively to sustainable initiatives in their communities.</w:t>
      </w:r>
    </w:p>
    <w:p w14:paraId="0F4A984F" w14:textId="3DC89746" w:rsidR="00071DF7" w:rsidRPr="00CC5505" w:rsidRDefault="00071DF7" w:rsidP="00E41129">
      <w:pPr>
        <w:spacing w:line="276" w:lineRule="auto"/>
        <w:ind w:firstLine="567"/>
        <w:jc w:val="both"/>
        <w:rPr>
          <w:rFonts w:ascii="Book Antiqua" w:hAnsi="Book Antiqua"/>
          <w:sz w:val="26"/>
          <w:szCs w:val="26"/>
        </w:rPr>
      </w:pPr>
      <w:r w:rsidRPr="00CC5505">
        <w:rPr>
          <w:rFonts w:ascii="Book Antiqua" w:hAnsi="Book Antiqua"/>
          <w:sz w:val="26"/>
          <w:szCs w:val="26"/>
        </w:rPr>
        <w:t xml:space="preserve">Similarly, UIN Syarif </w:t>
      </w:r>
      <w:proofErr w:type="spellStart"/>
      <w:r w:rsidRPr="00CC5505">
        <w:rPr>
          <w:rFonts w:ascii="Book Antiqua" w:hAnsi="Book Antiqua"/>
          <w:sz w:val="26"/>
          <w:szCs w:val="26"/>
        </w:rPr>
        <w:t>Hidayatullah</w:t>
      </w:r>
      <w:proofErr w:type="spellEnd"/>
      <w:r w:rsidRPr="00CC5505">
        <w:rPr>
          <w:rFonts w:ascii="Book Antiqua" w:hAnsi="Book Antiqua"/>
          <w:sz w:val="26"/>
          <w:szCs w:val="26"/>
        </w:rPr>
        <w:t xml:space="preserve"> Jakarta emphasizes the importance of competence in sustainable development by integrating Islamic values with contemporary sustainability practices. The university promotes research and community service programs that address pressing social and environmental issues, encouraging students to apply their learning in real-world scenarios. Through partnerships with local governments and NGOs, UIN Syarif </w:t>
      </w:r>
      <w:proofErr w:type="spellStart"/>
      <w:r w:rsidRPr="00CC5505">
        <w:rPr>
          <w:rFonts w:ascii="Book Antiqua" w:hAnsi="Book Antiqua"/>
          <w:sz w:val="26"/>
          <w:szCs w:val="26"/>
        </w:rPr>
        <w:t>Hidayatullah</w:t>
      </w:r>
      <w:proofErr w:type="spellEnd"/>
      <w:r w:rsidRPr="00CC5505">
        <w:rPr>
          <w:rFonts w:ascii="Book Antiqua" w:hAnsi="Book Antiqua"/>
          <w:sz w:val="26"/>
          <w:szCs w:val="26"/>
        </w:rPr>
        <w:t xml:space="preserve"> Jakarta also facilitates collaborative projects that highlight the role of ethical leadership and stakeholder engagement in achieving sustainable outcomes. Together, these institutions are not only enhancing the competence of their students in sustainable development but also fostering a culture of sustainability that can lead to positive change in society. By preparing future </w:t>
      </w:r>
      <w:r w:rsidRPr="00CC5505">
        <w:rPr>
          <w:rFonts w:ascii="Book Antiqua" w:hAnsi="Book Antiqua"/>
          <w:sz w:val="26"/>
          <w:szCs w:val="26"/>
        </w:rPr>
        <w:lastRenderedPageBreak/>
        <w:t>leaders who are knowledgeable, skilled, and ethically grounded, IAI Batanghari and UIN Syarif Jakarta are playing a vital role in advancing the agenda of sustainable development in Indonesia.</w:t>
      </w:r>
    </w:p>
    <w:p w14:paraId="493F398E" w14:textId="77777777" w:rsidR="00E41129" w:rsidRPr="00CC5505" w:rsidRDefault="00E41129" w:rsidP="00E41129">
      <w:pPr>
        <w:pStyle w:val="Normal1"/>
        <w:widowControl w:val="0"/>
        <w:spacing w:line="276" w:lineRule="auto"/>
        <w:rPr>
          <w:rFonts w:ascii="Book Antiqua" w:eastAsia="Cambria" w:hAnsi="Book Antiqua" w:cs="Cambria"/>
          <w:b/>
          <w:sz w:val="26"/>
          <w:szCs w:val="26"/>
        </w:rPr>
      </w:pPr>
    </w:p>
    <w:p w14:paraId="52D1F8F1" w14:textId="44DF6555" w:rsidR="00E41129" w:rsidRPr="00CC5505" w:rsidRDefault="00E41129" w:rsidP="00E41129">
      <w:pPr>
        <w:pStyle w:val="Normal1"/>
        <w:widowControl w:val="0"/>
        <w:spacing w:line="276" w:lineRule="auto"/>
        <w:rPr>
          <w:rFonts w:ascii="Book Antiqua" w:eastAsia="Cambria" w:hAnsi="Book Antiqua" w:cs="Cambria"/>
          <w:b/>
          <w:sz w:val="26"/>
          <w:szCs w:val="26"/>
        </w:rPr>
      </w:pPr>
      <w:r w:rsidRPr="00CC5505">
        <w:rPr>
          <w:rFonts w:ascii="Book Antiqua" w:eastAsia="Cambria" w:hAnsi="Book Antiqua" w:cs="Cambria"/>
          <w:b/>
          <w:sz w:val="26"/>
          <w:szCs w:val="26"/>
        </w:rPr>
        <w:t>Factors of the Educational Environment in Higher Education</w:t>
      </w:r>
    </w:p>
    <w:p w14:paraId="71102168" w14:textId="77777777" w:rsidR="00E41129" w:rsidRPr="00CC5505" w:rsidRDefault="00E41129" w:rsidP="00E41129">
      <w:pPr>
        <w:pStyle w:val="Normal1"/>
        <w:widowControl w:val="0"/>
        <w:spacing w:line="276" w:lineRule="auto"/>
        <w:ind w:firstLine="567"/>
        <w:jc w:val="both"/>
        <w:rPr>
          <w:rFonts w:ascii="Book Antiqua" w:eastAsia="Cambria" w:hAnsi="Book Antiqua" w:cs="Cambria"/>
          <w:bCs/>
          <w:sz w:val="26"/>
          <w:szCs w:val="26"/>
        </w:rPr>
      </w:pPr>
      <w:r w:rsidRPr="00CC5505">
        <w:rPr>
          <w:rFonts w:ascii="Book Antiqua" w:eastAsia="Cambria" w:hAnsi="Book Antiqua" w:cs="Cambria"/>
          <w:bCs/>
          <w:sz w:val="26"/>
          <w:szCs w:val="26"/>
        </w:rPr>
        <w:t xml:space="preserve">The formation of the educational environment within the context of sustainability in educational institutions emphasizes that there is no uniform position. Several interrelated factors include: (1) concern for democracy and teacher participation in </w:t>
      </w:r>
      <w:proofErr w:type="gramStart"/>
      <w:r w:rsidRPr="00CC5505">
        <w:rPr>
          <w:rFonts w:ascii="Book Antiqua" w:eastAsia="Cambria" w:hAnsi="Book Antiqua" w:cs="Cambria"/>
          <w:bCs/>
          <w:sz w:val="26"/>
          <w:szCs w:val="26"/>
        </w:rPr>
        <w:t>policy-making</w:t>
      </w:r>
      <w:proofErr w:type="gramEnd"/>
      <w:r w:rsidRPr="00CC5505">
        <w:rPr>
          <w:rFonts w:ascii="Book Antiqua" w:eastAsia="Cambria" w:hAnsi="Book Antiqua" w:cs="Cambria"/>
          <w:bCs/>
          <w:sz w:val="26"/>
          <w:szCs w:val="26"/>
        </w:rPr>
        <w:t>; (2) commitment to solidarity and the common good; (3) the importance of transactional and dialogic forms characterizing co-creation; (4) the need to reflect on and expose, often, the implicit normativity of education in general and education for sustainable development in particular. These various factors are crucial but may also conflict with sectoral interests in facing sustainability challenges. At the same time, the tendency to elevate these factors to internal norms or universal principles is not always consistent with the principles themselves.</w:t>
      </w:r>
    </w:p>
    <w:p w14:paraId="6B349D06" w14:textId="550D0F48" w:rsidR="003D12BD" w:rsidRPr="00CC5505" w:rsidRDefault="003D12BD" w:rsidP="00E41129">
      <w:pPr>
        <w:pStyle w:val="Normal1"/>
        <w:widowControl w:val="0"/>
        <w:spacing w:line="276" w:lineRule="auto"/>
        <w:ind w:firstLine="567"/>
        <w:jc w:val="both"/>
        <w:rPr>
          <w:rFonts w:ascii="Book Antiqua" w:eastAsia="Cambria" w:hAnsi="Book Antiqua" w:cs="Cambria"/>
          <w:bCs/>
          <w:sz w:val="26"/>
          <w:szCs w:val="26"/>
        </w:rPr>
      </w:pPr>
      <w:r w:rsidRPr="00CC5505">
        <w:rPr>
          <w:rFonts w:ascii="Book Antiqua" w:eastAsia="Cambria" w:hAnsi="Book Antiqua" w:cs="Cambria"/>
          <w:bCs/>
          <w:sz w:val="26"/>
          <w:szCs w:val="26"/>
        </w:rPr>
        <w:t xml:space="preserve">"College Education Environment Factors" play a crucial role in shaping the learning experiences and outcomes of students at IAI Batanghari and UIN Syarif </w:t>
      </w:r>
      <w:proofErr w:type="spellStart"/>
      <w:r w:rsidRPr="00CC5505">
        <w:rPr>
          <w:rFonts w:ascii="Book Antiqua" w:eastAsia="Cambria" w:hAnsi="Book Antiqua" w:cs="Cambria"/>
          <w:bCs/>
          <w:sz w:val="26"/>
          <w:szCs w:val="26"/>
        </w:rPr>
        <w:t>Hidayatullah</w:t>
      </w:r>
      <w:proofErr w:type="spellEnd"/>
      <w:r w:rsidRPr="00CC5505">
        <w:rPr>
          <w:rFonts w:ascii="Book Antiqua" w:eastAsia="Cambria" w:hAnsi="Book Antiqua" w:cs="Cambria"/>
          <w:bCs/>
          <w:sz w:val="26"/>
          <w:szCs w:val="26"/>
        </w:rPr>
        <w:t xml:space="preserve"> Jakarta. At IAI Batanghari, the educational environment is characterized by a strong emphasis on collaborative learning and community engagement. The institution fosters a supportive atmosphere where students are encouraged to participate in group projects, workshops, and extracurricular activities that enhance their academic experience. This collaborative culture not only promotes peer learning but also helps students develop essential soft skills such as teamwork, communication, and problem-solving, which are vital for their future careers.</w:t>
      </w:r>
    </w:p>
    <w:p w14:paraId="5C78D60E" w14:textId="77777777" w:rsidR="003D12BD" w:rsidRPr="00CC5505" w:rsidRDefault="003D12BD" w:rsidP="00E41129">
      <w:pPr>
        <w:pStyle w:val="Normal1"/>
        <w:widowControl w:val="0"/>
        <w:spacing w:line="276" w:lineRule="auto"/>
        <w:ind w:firstLine="567"/>
        <w:jc w:val="both"/>
        <w:rPr>
          <w:rFonts w:ascii="Book Antiqua" w:eastAsia="Cambria" w:hAnsi="Book Antiqua" w:cs="Cambria"/>
          <w:bCs/>
          <w:sz w:val="26"/>
          <w:szCs w:val="26"/>
        </w:rPr>
      </w:pPr>
      <w:r w:rsidRPr="00CC5505">
        <w:rPr>
          <w:rFonts w:ascii="Book Antiqua" w:eastAsia="Cambria" w:hAnsi="Book Antiqua" w:cs="Cambria"/>
          <w:bCs/>
          <w:sz w:val="26"/>
          <w:szCs w:val="26"/>
        </w:rPr>
        <w:t xml:space="preserve">Similarly, UIN Syarif </w:t>
      </w:r>
      <w:proofErr w:type="spellStart"/>
      <w:r w:rsidRPr="00CC5505">
        <w:rPr>
          <w:rFonts w:ascii="Book Antiqua" w:eastAsia="Cambria" w:hAnsi="Book Antiqua" w:cs="Cambria"/>
          <w:bCs/>
          <w:sz w:val="26"/>
          <w:szCs w:val="26"/>
        </w:rPr>
        <w:t>Hidayatullah</w:t>
      </w:r>
      <w:proofErr w:type="spellEnd"/>
      <w:r w:rsidRPr="00CC5505">
        <w:rPr>
          <w:rFonts w:ascii="Book Antiqua" w:eastAsia="Cambria" w:hAnsi="Book Antiqua" w:cs="Cambria"/>
          <w:bCs/>
          <w:sz w:val="26"/>
          <w:szCs w:val="26"/>
        </w:rPr>
        <w:t xml:space="preserve"> Jakarta creates a vibrant educational environment that integrates academic rigor with spiritual and ethical development. The university emphasizes the importance of Islamic values in education, encouraging students to engage critically with their studies while also fostering a sense of social responsibility. Facilities such as study </w:t>
      </w:r>
      <w:proofErr w:type="spellStart"/>
      <w:r w:rsidRPr="00CC5505">
        <w:rPr>
          <w:rFonts w:ascii="Book Antiqua" w:eastAsia="Cambria" w:hAnsi="Book Antiqua" w:cs="Cambria"/>
          <w:bCs/>
          <w:sz w:val="26"/>
          <w:szCs w:val="26"/>
        </w:rPr>
        <w:t>centers</w:t>
      </w:r>
      <w:proofErr w:type="spellEnd"/>
      <w:r w:rsidRPr="00CC5505">
        <w:rPr>
          <w:rFonts w:ascii="Book Antiqua" w:eastAsia="Cambria" w:hAnsi="Book Antiqua" w:cs="Cambria"/>
          <w:bCs/>
          <w:sz w:val="26"/>
          <w:szCs w:val="26"/>
        </w:rPr>
        <w:t>, research labs, and community service programs are designed to support students in their academic pursuits while promoting a holistic educational experience. Additionally, the university's strong ties with local communities provide students with opportunities for practical application of their knowledge, allowing them to contribute positively to society while enhancing their learning.</w:t>
      </w:r>
    </w:p>
    <w:p w14:paraId="59856635" w14:textId="22B8C010" w:rsidR="003D12BD" w:rsidRPr="00CC5505" w:rsidRDefault="003D12BD" w:rsidP="00E41129">
      <w:pPr>
        <w:pStyle w:val="Normal1"/>
        <w:widowControl w:val="0"/>
        <w:spacing w:line="276" w:lineRule="auto"/>
        <w:ind w:firstLine="567"/>
        <w:jc w:val="both"/>
        <w:rPr>
          <w:rFonts w:ascii="Book Antiqua" w:eastAsia="Cambria" w:hAnsi="Book Antiqua" w:cs="Cambria"/>
          <w:bCs/>
          <w:sz w:val="26"/>
          <w:szCs w:val="26"/>
        </w:rPr>
      </w:pPr>
      <w:r w:rsidRPr="00CC5505">
        <w:rPr>
          <w:rFonts w:ascii="Book Antiqua" w:eastAsia="Cambria" w:hAnsi="Book Antiqua" w:cs="Cambria"/>
          <w:bCs/>
          <w:sz w:val="26"/>
          <w:szCs w:val="26"/>
        </w:rPr>
        <w:lastRenderedPageBreak/>
        <w:t xml:space="preserve">Together, IAI Batanghari and UIN Syarif </w:t>
      </w:r>
      <w:proofErr w:type="spellStart"/>
      <w:r w:rsidRPr="00CC5505">
        <w:rPr>
          <w:rFonts w:ascii="Book Antiqua" w:eastAsia="Cambria" w:hAnsi="Book Antiqua" w:cs="Cambria"/>
          <w:bCs/>
          <w:sz w:val="26"/>
          <w:szCs w:val="26"/>
        </w:rPr>
        <w:t>Hidayatullah</w:t>
      </w:r>
      <w:proofErr w:type="spellEnd"/>
      <w:r w:rsidRPr="00CC5505">
        <w:rPr>
          <w:rFonts w:ascii="Book Antiqua" w:eastAsia="Cambria" w:hAnsi="Book Antiqua" w:cs="Cambria"/>
          <w:bCs/>
          <w:sz w:val="26"/>
          <w:szCs w:val="26"/>
        </w:rPr>
        <w:t xml:space="preserve"> Jakarta exemplify how college education environment factors can significantly influence student engagement and achievement. By prioritizing collaborative learning, ethical development, and community involvement, these institutions are not only enhancing the educational experiences of their students but also preparing them to become responsible and effective leaders in their respective fields. This focus on creating a conducive educational environment ultimately contributes to the overall success and satisfaction of students, fostering a culture of excellence and commitment to lifelong learning.</w:t>
      </w:r>
    </w:p>
    <w:p w14:paraId="2DDC25DA" w14:textId="77777777" w:rsidR="005F66D4" w:rsidRPr="00CC5505" w:rsidRDefault="005F66D4" w:rsidP="00E41129">
      <w:pPr>
        <w:pStyle w:val="Normal1"/>
        <w:widowControl w:val="0"/>
        <w:spacing w:line="276" w:lineRule="auto"/>
        <w:jc w:val="both"/>
        <w:rPr>
          <w:rFonts w:ascii="Book Antiqua" w:eastAsia="Cambria" w:hAnsi="Book Antiqua" w:cs="Cambria"/>
          <w:b/>
          <w:sz w:val="26"/>
          <w:szCs w:val="26"/>
        </w:rPr>
      </w:pPr>
    </w:p>
    <w:p w14:paraId="50B00E94" w14:textId="11896B5F" w:rsidR="00D31101" w:rsidRPr="00CC5505" w:rsidRDefault="00D31101" w:rsidP="00E41129">
      <w:pPr>
        <w:pStyle w:val="Normal1"/>
        <w:widowControl w:val="0"/>
        <w:spacing w:line="276" w:lineRule="auto"/>
        <w:jc w:val="both"/>
        <w:rPr>
          <w:rFonts w:ascii="Book Antiqua" w:eastAsia="Cambria" w:hAnsi="Book Antiqua" w:cs="Cambria"/>
          <w:b/>
          <w:sz w:val="26"/>
          <w:szCs w:val="26"/>
        </w:rPr>
      </w:pPr>
      <w:r w:rsidRPr="00CC5505">
        <w:rPr>
          <w:rFonts w:ascii="Book Antiqua" w:eastAsia="Cambria" w:hAnsi="Book Antiqua" w:cs="Cambria"/>
          <w:b/>
          <w:sz w:val="26"/>
          <w:szCs w:val="26"/>
        </w:rPr>
        <w:t>Participation and Socio</w:t>
      </w:r>
      <w:r w:rsidRPr="00CC5505">
        <w:rPr>
          <w:rFonts w:ascii="Cambria Math" w:eastAsia="Cambria" w:hAnsi="Cambria Math" w:cs="Cambria Math"/>
          <w:b/>
          <w:sz w:val="26"/>
          <w:szCs w:val="26"/>
        </w:rPr>
        <w:t>‐</w:t>
      </w:r>
      <w:r w:rsidRPr="00CC5505">
        <w:rPr>
          <w:rFonts w:ascii="Book Antiqua" w:eastAsia="Cambria" w:hAnsi="Book Antiqua" w:cs="Cambria"/>
          <w:b/>
          <w:sz w:val="26"/>
          <w:szCs w:val="26"/>
        </w:rPr>
        <w:t>Cultural Change</w:t>
      </w:r>
    </w:p>
    <w:p w14:paraId="196EBD52" w14:textId="634B11E9" w:rsidR="00E41129" w:rsidRPr="00CC5505" w:rsidRDefault="00E41129" w:rsidP="00E41129">
      <w:pPr>
        <w:pStyle w:val="Normal1"/>
        <w:widowControl w:val="0"/>
        <w:spacing w:line="276" w:lineRule="auto"/>
        <w:ind w:firstLine="567"/>
        <w:jc w:val="both"/>
        <w:rPr>
          <w:rFonts w:ascii="Book Antiqua" w:eastAsia="Cambria" w:hAnsi="Book Antiqua" w:cs="Cambria"/>
          <w:bCs/>
          <w:sz w:val="26"/>
          <w:szCs w:val="26"/>
        </w:rPr>
      </w:pPr>
      <w:r w:rsidRPr="00CC5505">
        <w:rPr>
          <w:rFonts w:ascii="Book Antiqua" w:eastAsia="Cambria" w:hAnsi="Book Antiqua" w:cs="Cambria"/>
          <w:bCs/>
          <w:sz w:val="26"/>
          <w:szCs w:val="26"/>
        </w:rPr>
        <w:t xml:space="preserve">The historical and socio-cultural approaches to participation as a key concept in education oriented towards Education for Sustainable Development (ESD) emphasize the importance of cultural and historical contexts in understanding the dynamics of participation. Three empirical examples from the </w:t>
      </w:r>
      <w:proofErr w:type="spellStart"/>
      <w:r w:rsidRPr="00CC5505">
        <w:rPr>
          <w:rFonts w:ascii="Book Antiqua" w:eastAsia="Cambria" w:hAnsi="Book Antiqua" w:cs="Cambria"/>
          <w:bCs/>
          <w:sz w:val="26"/>
          <w:szCs w:val="26"/>
        </w:rPr>
        <w:t>pesantren</w:t>
      </w:r>
      <w:proofErr w:type="spellEnd"/>
      <w:r w:rsidRPr="00CC5505">
        <w:rPr>
          <w:rFonts w:ascii="Book Antiqua" w:eastAsia="Cambria" w:hAnsi="Book Antiqua" w:cs="Cambria"/>
          <w:bCs/>
          <w:sz w:val="26"/>
          <w:szCs w:val="26"/>
        </w:rPr>
        <w:t xml:space="preserve"> educational environment indicate that, although a relatively open framework has been provided for genuine participation, certain themes and issues can be marginalized within the dominant discourse on sustainable development.</w:t>
      </w:r>
    </w:p>
    <w:p w14:paraId="72E6D6DB" w14:textId="0DBB3E20" w:rsidR="00D31101" w:rsidRPr="00CC5505" w:rsidRDefault="00E41129" w:rsidP="00E41129">
      <w:pPr>
        <w:pStyle w:val="Normal1"/>
        <w:widowControl w:val="0"/>
        <w:spacing w:line="276" w:lineRule="auto"/>
        <w:ind w:firstLine="567"/>
        <w:jc w:val="both"/>
        <w:rPr>
          <w:rFonts w:ascii="Book Antiqua" w:eastAsia="Cambria" w:hAnsi="Book Antiqua" w:cs="Cambria"/>
          <w:bCs/>
          <w:sz w:val="26"/>
          <w:szCs w:val="26"/>
        </w:rPr>
      </w:pPr>
      <w:r w:rsidRPr="00CC5505">
        <w:rPr>
          <w:rFonts w:ascii="Book Antiqua" w:eastAsia="Cambria" w:hAnsi="Book Antiqua" w:cs="Cambria"/>
          <w:bCs/>
          <w:sz w:val="26"/>
          <w:szCs w:val="26"/>
        </w:rPr>
        <w:t>This discourse is often characterized as 'modernization of governance,' where the focus on efficiency and outcomes can overlook the voices and needs of local communities. In this context, participatory leadership can contribute to situational simulations, where leadership styles are not uniform but are adapted to the needs and goals of the programs to be achieved. To move beyond these challenges and contribute to the development of sustainable organizations, there is an emerging argument to place weight on engaging with dilemmas, differing opinions, and deliberative communication. This approach allows for deeper involvement from all stakeholders, creating a more inclusive and responsive educational environment that addresses community needs. Thus, participation becomes not just a formality but a rich and meaningful process in achieving sustainable development goals.</w:t>
      </w:r>
    </w:p>
    <w:p w14:paraId="1F6D4E20" w14:textId="77777777" w:rsidR="00E41129" w:rsidRPr="00CC5505" w:rsidRDefault="00E41129" w:rsidP="00E41129">
      <w:pPr>
        <w:pStyle w:val="Normal1"/>
        <w:widowControl w:val="0"/>
        <w:spacing w:line="276" w:lineRule="auto"/>
        <w:jc w:val="both"/>
        <w:rPr>
          <w:rFonts w:ascii="Book Antiqua" w:eastAsia="Cambria" w:hAnsi="Book Antiqua" w:cs="Cambria"/>
          <w:b/>
          <w:sz w:val="26"/>
          <w:szCs w:val="26"/>
        </w:rPr>
      </w:pPr>
    </w:p>
    <w:p w14:paraId="1DCD16DF" w14:textId="2A10516B" w:rsidR="005F5EAA" w:rsidRPr="00CC5505" w:rsidRDefault="005F5EAA" w:rsidP="00E41129">
      <w:pPr>
        <w:pStyle w:val="Normal1"/>
        <w:widowControl w:val="0"/>
        <w:spacing w:line="276" w:lineRule="auto"/>
        <w:jc w:val="both"/>
        <w:rPr>
          <w:rFonts w:ascii="Book Antiqua" w:eastAsia="Cambria" w:hAnsi="Book Antiqua" w:cs="Cambria"/>
          <w:b/>
          <w:sz w:val="26"/>
          <w:szCs w:val="26"/>
        </w:rPr>
      </w:pPr>
      <w:proofErr w:type="spellStart"/>
      <w:r w:rsidRPr="00CC5505">
        <w:rPr>
          <w:rFonts w:ascii="Book Antiqua" w:eastAsia="Cambria" w:hAnsi="Book Antiqua" w:cs="Cambria"/>
          <w:b/>
          <w:sz w:val="26"/>
          <w:szCs w:val="26"/>
        </w:rPr>
        <w:t>Penanaman</w:t>
      </w:r>
      <w:proofErr w:type="spellEnd"/>
      <w:r w:rsidRPr="00CC5505">
        <w:rPr>
          <w:rFonts w:ascii="Book Antiqua" w:eastAsia="Cambria" w:hAnsi="Book Antiqua" w:cs="Cambria"/>
          <w:b/>
          <w:sz w:val="26"/>
          <w:szCs w:val="26"/>
        </w:rPr>
        <w:t xml:space="preserve"> </w:t>
      </w:r>
      <w:proofErr w:type="spellStart"/>
      <w:r w:rsidRPr="00CC5505">
        <w:rPr>
          <w:rFonts w:ascii="Book Antiqua" w:eastAsia="Cambria" w:hAnsi="Book Antiqua" w:cs="Cambria"/>
          <w:b/>
          <w:sz w:val="26"/>
          <w:szCs w:val="26"/>
        </w:rPr>
        <w:t>Loyalitas</w:t>
      </w:r>
      <w:proofErr w:type="spellEnd"/>
      <w:r w:rsidRPr="00CC5505">
        <w:rPr>
          <w:rFonts w:ascii="Book Antiqua" w:eastAsia="Cambria" w:hAnsi="Book Antiqua" w:cs="Cambria"/>
          <w:b/>
          <w:sz w:val="26"/>
          <w:szCs w:val="26"/>
        </w:rPr>
        <w:t xml:space="preserve"> </w:t>
      </w:r>
      <w:proofErr w:type="spellStart"/>
      <w:r w:rsidRPr="00CC5505">
        <w:rPr>
          <w:rFonts w:ascii="Book Antiqua" w:eastAsia="Cambria" w:hAnsi="Book Antiqua" w:cs="Cambria"/>
          <w:b/>
          <w:sz w:val="26"/>
          <w:szCs w:val="26"/>
        </w:rPr>
        <w:t>melalui</w:t>
      </w:r>
      <w:proofErr w:type="spellEnd"/>
      <w:r w:rsidRPr="00CC5505">
        <w:rPr>
          <w:rFonts w:ascii="Book Antiqua" w:eastAsia="Cambria" w:hAnsi="Book Antiqua" w:cs="Cambria"/>
          <w:b/>
          <w:sz w:val="26"/>
          <w:szCs w:val="26"/>
        </w:rPr>
        <w:t xml:space="preserve"> </w:t>
      </w:r>
      <w:proofErr w:type="spellStart"/>
      <w:r w:rsidRPr="00CC5505">
        <w:rPr>
          <w:rFonts w:ascii="Book Antiqua" w:eastAsia="Cambria" w:hAnsi="Book Antiqua" w:cs="Cambria"/>
          <w:b/>
          <w:sz w:val="26"/>
          <w:szCs w:val="26"/>
        </w:rPr>
        <w:t>Kekuatan</w:t>
      </w:r>
      <w:proofErr w:type="spellEnd"/>
      <w:r w:rsidRPr="00CC5505">
        <w:rPr>
          <w:rFonts w:ascii="Book Antiqua" w:eastAsia="Cambria" w:hAnsi="Book Antiqua" w:cs="Cambria"/>
          <w:b/>
          <w:sz w:val="26"/>
          <w:szCs w:val="26"/>
        </w:rPr>
        <w:t xml:space="preserve"> </w:t>
      </w:r>
      <w:proofErr w:type="spellStart"/>
      <w:r w:rsidRPr="00CC5505">
        <w:rPr>
          <w:rFonts w:ascii="Book Antiqua" w:eastAsia="Cambria" w:hAnsi="Book Antiqua" w:cs="Cambria"/>
          <w:b/>
          <w:sz w:val="26"/>
          <w:szCs w:val="26"/>
        </w:rPr>
        <w:t>Finansial</w:t>
      </w:r>
      <w:proofErr w:type="spellEnd"/>
      <w:r w:rsidRPr="00CC5505">
        <w:rPr>
          <w:rFonts w:ascii="Book Antiqua" w:eastAsia="Cambria" w:hAnsi="Book Antiqua" w:cs="Cambria"/>
          <w:b/>
          <w:sz w:val="26"/>
          <w:szCs w:val="26"/>
        </w:rPr>
        <w:t xml:space="preserve"> </w:t>
      </w:r>
    </w:p>
    <w:p w14:paraId="2945815C" w14:textId="4F102D51" w:rsidR="00071DF7" w:rsidRPr="00CC5505" w:rsidRDefault="00071DF7" w:rsidP="00E41129">
      <w:pPr>
        <w:pStyle w:val="Normal1"/>
        <w:widowControl w:val="0"/>
        <w:spacing w:line="276" w:lineRule="auto"/>
        <w:ind w:firstLine="567"/>
        <w:jc w:val="both"/>
        <w:rPr>
          <w:rFonts w:ascii="Book Antiqua" w:eastAsia="Cambria" w:hAnsi="Book Antiqua" w:cs="Cambria"/>
          <w:bCs/>
          <w:sz w:val="26"/>
          <w:szCs w:val="26"/>
        </w:rPr>
      </w:pPr>
      <w:r w:rsidRPr="00CC5505">
        <w:rPr>
          <w:rFonts w:ascii="Book Antiqua" w:eastAsia="Cambria" w:hAnsi="Book Antiqua" w:cs="Cambria"/>
          <w:bCs/>
          <w:sz w:val="26"/>
          <w:szCs w:val="26"/>
        </w:rPr>
        <w:t xml:space="preserve">"Cultivating Loyalty through Financial Power" represents a significant theme in the strategic management practices observed at IAI Batanghari and UIN Syarif </w:t>
      </w:r>
      <w:proofErr w:type="spellStart"/>
      <w:r w:rsidRPr="00CC5505">
        <w:rPr>
          <w:rFonts w:ascii="Book Antiqua" w:eastAsia="Cambria" w:hAnsi="Book Antiqua" w:cs="Cambria"/>
          <w:bCs/>
          <w:sz w:val="26"/>
          <w:szCs w:val="26"/>
        </w:rPr>
        <w:t>Hidayatullah</w:t>
      </w:r>
      <w:proofErr w:type="spellEnd"/>
      <w:r w:rsidRPr="00CC5505">
        <w:rPr>
          <w:rFonts w:ascii="Book Antiqua" w:eastAsia="Cambria" w:hAnsi="Book Antiqua" w:cs="Cambria"/>
          <w:bCs/>
          <w:sz w:val="26"/>
          <w:szCs w:val="26"/>
        </w:rPr>
        <w:t xml:space="preserve"> Jakarta. Both institutions recognize that financial </w:t>
      </w:r>
      <w:r w:rsidRPr="00CC5505">
        <w:rPr>
          <w:rFonts w:ascii="Book Antiqua" w:eastAsia="Cambria" w:hAnsi="Book Antiqua" w:cs="Cambria"/>
          <w:bCs/>
          <w:sz w:val="26"/>
          <w:szCs w:val="26"/>
        </w:rPr>
        <w:lastRenderedPageBreak/>
        <w:t>resources play a crucial role in fostering loyalty among students, faculty, and stakeholders. At IAI Batanghari, the administration has implemented scholarship programs and financial aid initiatives that not only alleviate the economic burden on students but also enhance their commitment to the institution. By ensuring that students have access to necessary financial support, IAI Batanghari cultivates a sense of belonging and loyalty, encouraging students to engage more deeply in campus activities and academic pursuits.</w:t>
      </w:r>
    </w:p>
    <w:p w14:paraId="13C25028" w14:textId="6A807B8A" w:rsidR="00927E45" w:rsidRPr="00CC5505" w:rsidRDefault="00071DF7" w:rsidP="00E41129">
      <w:pPr>
        <w:pStyle w:val="Normal1"/>
        <w:widowControl w:val="0"/>
        <w:spacing w:line="276" w:lineRule="auto"/>
        <w:ind w:firstLine="567"/>
        <w:jc w:val="both"/>
        <w:rPr>
          <w:rFonts w:ascii="Book Antiqua" w:eastAsia="Cambria" w:hAnsi="Book Antiqua" w:cs="Cambria"/>
          <w:bCs/>
          <w:sz w:val="26"/>
          <w:szCs w:val="26"/>
        </w:rPr>
      </w:pPr>
      <w:r w:rsidRPr="00CC5505">
        <w:rPr>
          <w:rFonts w:ascii="Book Antiqua" w:eastAsia="Cambria" w:hAnsi="Book Antiqua" w:cs="Cambria"/>
          <w:bCs/>
          <w:sz w:val="26"/>
          <w:szCs w:val="26"/>
        </w:rPr>
        <w:t xml:space="preserve">Similarly, UIN Syarif </w:t>
      </w:r>
      <w:proofErr w:type="spellStart"/>
      <w:r w:rsidRPr="00CC5505">
        <w:rPr>
          <w:rFonts w:ascii="Book Antiqua" w:eastAsia="Cambria" w:hAnsi="Book Antiqua" w:cs="Cambria"/>
          <w:bCs/>
          <w:sz w:val="26"/>
          <w:szCs w:val="26"/>
        </w:rPr>
        <w:t>Hidayatullah</w:t>
      </w:r>
      <w:proofErr w:type="spellEnd"/>
      <w:r w:rsidRPr="00CC5505">
        <w:rPr>
          <w:rFonts w:ascii="Book Antiqua" w:eastAsia="Cambria" w:hAnsi="Book Antiqua" w:cs="Cambria"/>
          <w:bCs/>
          <w:sz w:val="26"/>
          <w:szCs w:val="26"/>
        </w:rPr>
        <w:t xml:space="preserve"> Jakarta leverages its financial power to create an environment that promotes loyalty through various initiatives. The university invests in state-of-the-art facilities, extracurricular programs, and community outreach projects, which enhance the overall student experience. These investments not only improve the quality of education but also foster a strong emotional connection between the students and the institution. Furthermore, UIN Syarif </w:t>
      </w:r>
      <w:proofErr w:type="spellStart"/>
      <w:r w:rsidRPr="00CC5505">
        <w:rPr>
          <w:rFonts w:ascii="Book Antiqua" w:eastAsia="Cambria" w:hAnsi="Book Antiqua" w:cs="Cambria"/>
          <w:bCs/>
          <w:sz w:val="26"/>
          <w:szCs w:val="26"/>
        </w:rPr>
        <w:t>Hidayatullah</w:t>
      </w:r>
      <w:proofErr w:type="spellEnd"/>
      <w:r w:rsidRPr="00CC5505">
        <w:rPr>
          <w:rFonts w:ascii="Book Antiqua" w:eastAsia="Cambria" w:hAnsi="Book Antiqua" w:cs="Cambria"/>
          <w:bCs/>
          <w:sz w:val="26"/>
          <w:szCs w:val="26"/>
        </w:rPr>
        <w:t xml:space="preserve"> Jakarta actively involves alumni in funding initiatives, creating a cycle of loyalty where former students contribute back to the university, reinforcing their ties and encouraging current students to feel a similar sense of responsibility and loyalty.</w:t>
      </w:r>
    </w:p>
    <w:p w14:paraId="4306A4F5" w14:textId="4AC4D5A1" w:rsidR="00071DF7" w:rsidRPr="00CC5505" w:rsidRDefault="00071DF7" w:rsidP="00E41129">
      <w:pPr>
        <w:pStyle w:val="Normal1"/>
        <w:widowControl w:val="0"/>
        <w:spacing w:line="276" w:lineRule="auto"/>
        <w:ind w:firstLine="567"/>
        <w:jc w:val="both"/>
        <w:rPr>
          <w:rFonts w:ascii="Book Antiqua" w:eastAsia="Cambria" w:hAnsi="Book Antiqua" w:cs="Cambria"/>
          <w:bCs/>
          <w:sz w:val="26"/>
          <w:szCs w:val="26"/>
        </w:rPr>
      </w:pPr>
      <w:r w:rsidRPr="00CC5505">
        <w:rPr>
          <w:rFonts w:ascii="Book Antiqua" w:eastAsia="Cambria" w:hAnsi="Book Antiqua" w:cs="Cambria"/>
          <w:bCs/>
          <w:sz w:val="26"/>
          <w:szCs w:val="26"/>
        </w:rPr>
        <w:t xml:space="preserve">Together, IAI Batanghari and UIN Syarif Jakarta demonstrate that financial power, when strategically utilized, can cultivate </w:t>
      </w:r>
      <w:proofErr w:type="gramStart"/>
      <w:r w:rsidRPr="00CC5505">
        <w:rPr>
          <w:rFonts w:ascii="Book Antiqua" w:eastAsia="Cambria" w:hAnsi="Book Antiqua" w:cs="Cambria"/>
          <w:bCs/>
          <w:sz w:val="26"/>
          <w:szCs w:val="26"/>
        </w:rPr>
        <w:t>loyalty</w:t>
      </w:r>
      <w:proofErr w:type="gramEnd"/>
      <w:r w:rsidRPr="00CC5505">
        <w:rPr>
          <w:rFonts w:ascii="Book Antiqua" w:eastAsia="Cambria" w:hAnsi="Book Antiqua" w:cs="Cambria"/>
          <w:bCs/>
          <w:sz w:val="26"/>
          <w:szCs w:val="26"/>
        </w:rPr>
        <w:t xml:space="preserve"> and foster a supportive academic environment. By prioritizing financial support and investment in student experiences, both institutions are not only enhancing their reputations but also building a dedicated community of learners and leaders who are committed to the values and mission of their respective universities. This approach ultimately contributes to the long-term sustainability and success of these higher education institutions in Indonesia.</w:t>
      </w:r>
    </w:p>
    <w:p w14:paraId="55C1E42E" w14:textId="77777777" w:rsidR="00E41129" w:rsidRPr="00CC5505" w:rsidRDefault="00E41129" w:rsidP="00E41129">
      <w:pPr>
        <w:pStyle w:val="Normal1"/>
        <w:widowControl w:val="0"/>
        <w:spacing w:line="276" w:lineRule="auto"/>
        <w:rPr>
          <w:rFonts w:ascii="Book Antiqua" w:eastAsia="Cambria" w:hAnsi="Book Antiqua" w:cs="Cambria"/>
          <w:bCs/>
          <w:sz w:val="26"/>
          <w:szCs w:val="26"/>
        </w:rPr>
      </w:pPr>
    </w:p>
    <w:p w14:paraId="63F403AD" w14:textId="18E64A6D" w:rsidR="00E41129" w:rsidRPr="00CC5505" w:rsidRDefault="00E41129" w:rsidP="00E41129">
      <w:pPr>
        <w:pStyle w:val="Normal1"/>
        <w:widowControl w:val="0"/>
        <w:spacing w:line="276" w:lineRule="auto"/>
        <w:rPr>
          <w:rFonts w:ascii="Book Antiqua" w:eastAsia="Cambria" w:hAnsi="Book Antiqua" w:cs="Cambria"/>
          <w:b/>
          <w:sz w:val="26"/>
          <w:szCs w:val="26"/>
        </w:rPr>
      </w:pPr>
      <w:r w:rsidRPr="00CC5505">
        <w:rPr>
          <w:rFonts w:ascii="Book Antiqua" w:eastAsia="Cambria" w:hAnsi="Book Antiqua" w:cs="Cambria"/>
          <w:b/>
          <w:sz w:val="26"/>
          <w:szCs w:val="26"/>
        </w:rPr>
        <w:t>Leadership Orientation Towards Sustainable Organizations</w:t>
      </w:r>
    </w:p>
    <w:p w14:paraId="233DEE19" w14:textId="77777777" w:rsidR="00E41129" w:rsidRPr="00CC5505" w:rsidRDefault="00E41129" w:rsidP="00E41129">
      <w:pPr>
        <w:pStyle w:val="Normal1"/>
        <w:widowControl w:val="0"/>
        <w:spacing w:line="276" w:lineRule="auto"/>
        <w:ind w:firstLine="567"/>
        <w:jc w:val="both"/>
        <w:rPr>
          <w:rFonts w:ascii="Book Antiqua" w:eastAsia="Cambria" w:hAnsi="Book Antiqua" w:cs="Cambria"/>
          <w:bCs/>
          <w:sz w:val="26"/>
          <w:szCs w:val="26"/>
        </w:rPr>
      </w:pPr>
      <w:r w:rsidRPr="00CC5505">
        <w:rPr>
          <w:rFonts w:ascii="Book Antiqua" w:eastAsia="Cambria" w:hAnsi="Book Antiqua" w:cs="Cambria"/>
          <w:bCs/>
          <w:sz w:val="26"/>
          <w:szCs w:val="26"/>
        </w:rPr>
        <w:t xml:space="preserve">The Millennium Development Goals demand reforms in educational governance. The challenges of the industrial revolution are becoming increasingly complex, necessitating a transformation in education. There are two options to ensure the existence of education: currently, there is a more specific demand for Education for Sustainable Development (ESD) and Education for Sustainable Development Goals (ESDG). Despite many educational institutions' </w:t>
      </w:r>
      <w:proofErr w:type="gramStart"/>
      <w:r w:rsidRPr="00CC5505">
        <w:rPr>
          <w:rFonts w:ascii="Book Antiqua" w:eastAsia="Cambria" w:hAnsi="Book Antiqua" w:cs="Cambria"/>
          <w:bCs/>
          <w:sz w:val="26"/>
          <w:szCs w:val="26"/>
        </w:rPr>
        <w:t>desire</w:t>
      </w:r>
      <w:proofErr w:type="gramEnd"/>
      <w:r w:rsidRPr="00CC5505">
        <w:rPr>
          <w:rFonts w:ascii="Book Antiqua" w:eastAsia="Cambria" w:hAnsi="Book Antiqua" w:cs="Cambria"/>
          <w:bCs/>
          <w:sz w:val="26"/>
          <w:szCs w:val="26"/>
        </w:rPr>
        <w:t xml:space="preserve"> to move towards a sustainable SDG orientation, given the escalating sustainability challenges, this article questions whether ESDG is desired as "education for the future."</w:t>
      </w:r>
    </w:p>
    <w:p w14:paraId="19E3FE4A" w14:textId="77777777" w:rsidR="00E41129" w:rsidRPr="00CC5505" w:rsidRDefault="00E41129" w:rsidP="00E41129">
      <w:pPr>
        <w:pStyle w:val="Normal1"/>
        <w:widowControl w:val="0"/>
        <w:spacing w:line="276" w:lineRule="auto"/>
        <w:ind w:firstLine="567"/>
        <w:jc w:val="both"/>
        <w:rPr>
          <w:rFonts w:ascii="Book Antiqua" w:eastAsia="Cambria" w:hAnsi="Book Antiqua" w:cs="Cambria"/>
          <w:bCs/>
          <w:sz w:val="26"/>
          <w:szCs w:val="26"/>
        </w:rPr>
      </w:pPr>
      <w:r w:rsidRPr="00CC5505">
        <w:rPr>
          <w:rFonts w:ascii="Book Antiqua" w:eastAsia="Cambria" w:hAnsi="Book Antiqua" w:cs="Cambria"/>
          <w:bCs/>
          <w:sz w:val="26"/>
          <w:szCs w:val="26"/>
        </w:rPr>
        <w:lastRenderedPageBreak/>
        <w:t xml:space="preserve">Many challenges outlined by the SDGs should ideally be addressed through "inclusive" or "sustainable" economic growth, assuming that economic growth can be easily separated from resource consumption. However, the current hegemony of the sustainability-through-growth paradigm </w:t>
      </w:r>
      <w:proofErr w:type="gramStart"/>
      <w:r w:rsidRPr="00CC5505">
        <w:rPr>
          <w:rFonts w:ascii="Book Antiqua" w:eastAsia="Cambria" w:hAnsi="Book Antiqua" w:cs="Cambria"/>
          <w:bCs/>
          <w:sz w:val="26"/>
          <w:szCs w:val="26"/>
        </w:rPr>
        <w:t>actually exacerbates</w:t>
      </w:r>
      <w:proofErr w:type="gramEnd"/>
      <w:r w:rsidRPr="00CC5505">
        <w:rPr>
          <w:rFonts w:ascii="Book Antiqua" w:eastAsia="Cambria" w:hAnsi="Book Antiqua" w:cs="Cambria"/>
          <w:bCs/>
          <w:sz w:val="26"/>
          <w:szCs w:val="26"/>
        </w:rPr>
        <w:t xml:space="preserve"> inequality and pressure on natural resources, worsening biodiversity loss, climate change, and the resulting social tensions. With unreflective support for growth, far from challenging the status quo, the SDGs and, consequently, the ESDGs justify ongoing environmental exploitation, robbing millions of species of their right to thrive and impoverishing future generations.</w:t>
      </w:r>
    </w:p>
    <w:p w14:paraId="03A05933" w14:textId="77777777" w:rsidR="00E41129" w:rsidRPr="00CC5505" w:rsidRDefault="00E41129" w:rsidP="00E41129">
      <w:pPr>
        <w:pStyle w:val="Normal1"/>
        <w:widowControl w:val="0"/>
        <w:spacing w:line="276" w:lineRule="auto"/>
        <w:ind w:firstLine="567"/>
        <w:jc w:val="both"/>
        <w:rPr>
          <w:rFonts w:ascii="Book Antiqua" w:eastAsia="Cambria" w:hAnsi="Book Antiqua" w:cs="Cambria"/>
          <w:bCs/>
          <w:sz w:val="26"/>
          <w:szCs w:val="26"/>
        </w:rPr>
      </w:pPr>
      <w:r w:rsidRPr="00CC5505">
        <w:rPr>
          <w:rFonts w:ascii="Book Antiqua" w:eastAsia="Cambria" w:hAnsi="Book Antiqua" w:cs="Cambria"/>
          <w:bCs/>
          <w:sz w:val="26"/>
          <w:szCs w:val="26"/>
        </w:rPr>
        <w:t xml:space="preserve">Research findings reveal the need for increased awareness of the paradoxes of sustainable development. Within institutions, there is a need for teaching that promotes sustainability through interest-based vocational education models. Another alternative to improve the quality of governance in educational institutions is the implementation of situational leadership styles that align with the prevailing dynamics. In a deeper context, attention to leadership factors includes social learning and consideration of local community customs, </w:t>
      </w:r>
      <w:proofErr w:type="spellStart"/>
      <w:r w:rsidRPr="00CC5505">
        <w:rPr>
          <w:rFonts w:ascii="Book Antiqua" w:eastAsia="Cambria" w:hAnsi="Book Antiqua" w:cs="Cambria"/>
          <w:bCs/>
          <w:sz w:val="26"/>
          <w:szCs w:val="26"/>
        </w:rPr>
        <w:t>ecocentric</w:t>
      </w:r>
      <w:proofErr w:type="spellEnd"/>
      <w:r w:rsidRPr="00CC5505">
        <w:rPr>
          <w:rFonts w:ascii="Book Antiqua" w:eastAsia="Cambria" w:hAnsi="Book Antiqua" w:cs="Cambria"/>
          <w:bCs/>
          <w:sz w:val="26"/>
          <w:szCs w:val="26"/>
        </w:rPr>
        <w:t xml:space="preserve"> education, circular economy education, community empowerment, and self-directed learning.</w:t>
      </w:r>
    </w:p>
    <w:p w14:paraId="0F69D868" w14:textId="4A6BEBB9" w:rsidR="00071DF7" w:rsidRPr="00CC5505" w:rsidRDefault="00071DF7" w:rsidP="00E41129">
      <w:pPr>
        <w:pStyle w:val="Normal1"/>
        <w:widowControl w:val="0"/>
        <w:spacing w:line="276" w:lineRule="auto"/>
        <w:ind w:firstLine="567"/>
        <w:jc w:val="both"/>
        <w:rPr>
          <w:rFonts w:ascii="Book Antiqua" w:eastAsia="Cambria" w:hAnsi="Book Antiqua" w:cs="Cambria"/>
          <w:bCs/>
          <w:sz w:val="26"/>
          <w:szCs w:val="26"/>
        </w:rPr>
      </w:pPr>
      <w:r w:rsidRPr="00CC5505">
        <w:rPr>
          <w:rFonts w:ascii="Book Antiqua" w:eastAsia="Cambria" w:hAnsi="Book Antiqua" w:cs="Cambria"/>
          <w:bCs/>
          <w:sz w:val="26"/>
          <w:szCs w:val="26"/>
        </w:rPr>
        <w:t>Leadership Orientation towards Sustainable Organization</w:t>
      </w:r>
      <w:r w:rsidR="00684090" w:rsidRPr="00CC5505">
        <w:rPr>
          <w:rFonts w:ascii="Book Antiqua" w:eastAsia="Cambria" w:hAnsi="Book Antiqua" w:cs="Cambria"/>
          <w:bCs/>
          <w:sz w:val="26"/>
          <w:szCs w:val="26"/>
        </w:rPr>
        <w:t xml:space="preserve"> </w:t>
      </w:r>
      <w:r w:rsidRPr="00CC5505">
        <w:rPr>
          <w:rFonts w:ascii="Book Antiqua" w:eastAsia="Cambria" w:hAnsi="Book Antiqua" w:cs="Cambria"/>
          <w:bCs/>
          <w:sz w:val="26"/>
          <w:szCs w:val="26"/>
        </w:rPr>
        <w:t xml:space="preserve">is a pivotal focus area at IAI Batanghari and UIN Syarif </w:t>
      </w:r>
      <w:proofErr w:type="spellStart"/>
      <w:r w:rsidRPr="00CC5505">
        <w:rPr>
          <w:rFonts w:ascii="Book Antiqua" w:eastAsia="Cambria" w:hAnsi="Book Antiqua" w:cs="Cambria"/>
          <w:bCs/>
          <w:sz w:val="26"/>
          <w:szCs w:val="26"/>
        </w:rPr>
        <w:t>Hidayatullah</w:t>
      </w:r>
      <w:proofErr w:type="spellEnd"/>
      <w:r w:rsidRPr="00CC5505">
        <w:rPr>
          <w:rFonts w:ascii="Book Antiqua" w:eastAsia="Cambria" w:hAnsi="Book Antiqua" w:cs="Cambria"/>
          <w:bCs/>
          <w:sz w:val="26"/>
          <w:szCs w:val="26"/>
        </w:rPr>
        <w:t xml:space="preserve"> Jakarta, where the principles of sustainable development are integrated into leadership practices. At IAI Batanghari, leadership training programs are designed to </w:t>
      </w:r>
      <w:proofErr w:type="spellStart"/>
      <w:r w:rsidRPr="00CC5505">
        <w:rPr>
          <w:rFonts w:ascii="Book Antiqua" w:eastAsia="Cambria" w:hAnsi="Book Antiqua" w:cs="Cambria"/>
          <w:bCs/>
          <w:sz w:val="26"/>
          <w:szCs w:val="26"/>
        </w:rPr>
        <w:t>instill</w:t>
      </w:r>
      <w:proofErr w:type="spellEnd"/>
      <w:r w:rsidRPr="00CC5505">
        <w:rPr>
          <w:rFonts w:ascii="Book Antiqua" w:eastAsia="Cambria" w:hAnsi="Book Antiqua" w:cs="Cambria"/>
          <w:bCs/>
          <w:sz w:val="26"/>
          <w:szCs w:val="26"/>
        </w:rPr>
        <w:t xml:space="preserve"> a strong commitment to sustainability among future leaders. These programs emphasize the importance of ethical decision-making, stakeholder engagement, and long-term vision in cultivating organizations that prioritize environmental and social responsibility. Through workshops and collaborative projects, students learn to navigate the complexities of leading sustainable initiatives, equipping them with the skills necessary to drive positive change within their communities and organizations.</w:t>
      </w:r>
    </w:p>
    <w:p w14:paraId="23CD98FA" w14:textId="5CD9E502" w:rsidR="000813A9" w:rsidRPr="00CC5505" w:rsidRDefault="00071DF7" w:rsidP="00E41129">
      <w:pPr>
        <w:pStyle w:val="Normal1"/>
        <w:widowControl w:val="0"/>
        <w:spacing w:line="276" w:lineRule="auto"/>
        <w:ind w:firstLine="567"/>
        <w:jc w:val="both"/>
        <w:rPr>
          <w:rFonts w:ascii="Book Antiqua" w:eastAsia="Cambria" w:hAnsi="Book Antiqua" w:cs="Cambria"/>
          <w:bCs/>
          <w:sz w:val="26"/>
          <w:szCs w:val="26"/>
        </w:rPr>
      </w:pPr>
      <w:r w:rsidRPr="00CC5505">
        <w:rPr>
          <w:rFonts w:ascii="Book Antiqua" w:eastAsia="Cambria" w:hAnsi="Book Antiqua" w:cs="Cambria"/>
          <w:bCs/>
          <w:sz w:val="26"/>
          <w:szCs w:val="26"/>
        </w:rPr>
        <w:t xml:space="preserve">Similarly, UIN Syarif </w:t>
      </w:r>
      <w:proofErr w:type="spellStart"/>
      <w:r w:rsidRPr="00CC5505">
        <w:rPr>
          <w:rFonts w:ascii="Book Antiqua" w:eastAsia="Cambria" w:hAnsi="Book Antiqua" w:cs="Cambria"/>
          <w:bCs/>
          <w:sz w:val="26"/>
          <w:szCs w:val="26"/>
        </w:rPr>
        <w:t>Hidayatullah</w:t>
      </w:r>
      <w:proofErr w:type="spellEnd"/>
      <w:r w:rsidRPr="00CC5505">
        <w:rPr>
          <w:rFonts w:ascii="Book Antiqua" w:eastAsia="Cambria" w:hAnsi="Book Antiqua" w:cs="Cambria"/>
          <w:bCs/>
          <w:sz w:val="26"/>
          <w:szCs w:val="26"/>
        </w:rPr>
        <w:t xml:space="preserve"> Jakarta fosters a leadership orientation that aligns with sustainable organizational practices by incorporating Islamic values into its leadership curriculum. The university encourages its leaders to adopt a holistic approach that considers the welfare of all stakeholders, including students, faculty, and the broader community. By promoting participatory leadership styles, UIN Syarif </w:t>
      </w:r>
      <w:proofErr w:type="spellStart"/>
      <w:r w:rsidRPr="00CC5505">
        <w:rPr>
          <w:rFonts w:ascii="Book Antiqua" w:eastAsia="Cambria" w:hAnsi="Book Antiqua" w:cs="Cambria"/>
          <w:bCs/>
          <w:sz w:val="26"/>
          <w:szCs w:val="26"/>
        </w:rPr>
        <w:t>Hidayatullah</w:t>
      </w:r>
      <w:proofErr w:type="spellEnd"/>
      <w:r w:rsidRPr="00CC5505">
        <w:rPr>
          <w:rFonts w:ascii="Book Antiqua" w:eastAsia="Cambria" w:hAnsi="Book Antiqua" w:cs="Cambria"/>
          <w:bCs/>
          <w:sz w:val="26"/>
          <w:szCs w:val="26"/>
        </w:rPr>
        <w:t xml:space="preserve"> Jakarta </w:t>
      </w:r>
      <w:r w:rsidRPr="00CC5505">
        <w:rPr>
          <w:rFonts w:ascii="Book Antiqua" w:eastAsia="Cambria" w:hAnsi="Book Antiqua" w:cs="Cambria"/>
          <w:bCs/>
          <w:sz w:val="26"/>
          <w:szCs w:val="26"/>
        </w:rPr>
        <w:lastRenderedPageBreak/>
        <w:t>empowers its leaders to engage in dialogue and collaboration, fostering an organizational culture that prioritizes sustainability. Furthermore, the university actively supports research initiatives that explore innovative solutions to sustainability challenges, encouraging leaders to apply their findings in practical settings.</w:t>
      </w:r>
    </w:p>
    <w:p w14:paraId="03BB9B74" w14:textId="2BC67F1E" w:rsidR="00071DF7" w:rsidRPr="00CC5505" w:rsidRDefault="00071DF7" w:rsidP="00E41129">
      <w:pPr>
        <w:pStyle w:val="Normal1"/>
        <w:widowControl w:val="0"/>
        <w:spacing w:line="276" w:lineRule="auto"/>
        <w:ind w:firstLine="567"/>
        <w:jc w:val="both"/>
        <w:rPr>
          <w:rFonts w:ascii="Book Antiqua" w:eastAsia="Cambria" w:hAnsi="Book Antiqua" w:cs="Cambria"/>
          <w:bCs/>
          <w:sz w:val="26"/>
          <w:szCs w:val="26"/>
        </w:rPr>
      </w:pPr>
      <w:r w:rsidRPr="00CC5505">
        <w:rPr>
          <w:rFonts w:ascii="Book Antiqua" w:eastAsia="Cambria" w:hAnsi="Book Antiqua" w:cs="Cambria"/>
          <w:bCs/>
          <w:sz w:val="26"/>
          <w:szCs w:val="26"/>
        </w:rPr>
        <w:t xml:space="preserve">Through these efforts, both IAI Batanghari and UIN Syarif </w:t>
      </w:r>
      <w:proofErr w:type="spellStart"/>
      <w:r w:rsidRPr="00CC5505">
        <w:rPr>
          <w:rFonts w:ascii="Book Antiqua" w:eastAsia="Cambria" w:hAnsi="Book Antiqua" w:cs="Cambria"/>
          <w:bCs/>
          <w:sz w:val="26"/>
          <w:szCs w:val="26"/>
        </w:rPr>
        <w:t>Hidayatullah</w:t>
      </w:r>
      <w:proofErr w:type="spellEnd"/>
      <w:r w:rsidRPr="00CC5505">
        <w:rPr>
          <w:rFonts w:ascii="Book Antiqua" w:eastAsia="Cambria" w:hAnsi="Book Antiqua" w:cs="Cambria"/>
          <w:bCs/>
          <w:sz w:val="26"/>
          <w:szCs w:val="26"/>
        </w:rPr>
        <w:t xml:space="preserve"> Jakarta are not only preparing their students to become effective leaders in sustainable organizations but also contributing to the broader discourse on sustainable leadership in Indonesia. By cultivating a leadership orientation that prioritizes sustainability, these institutions are helping to shape a new generation of leaders who are committed to fostering organizations that thrive economically while being socially and environmentally responsible. This strategic focus on sustainable leadership ultimately positions both universities as key players in advancing the agenda of sustainable development within their respective communities and beyond.</w:t>
      </w:r>
    </w:p>
    <w:p w14:paraId="3E5C9652" w14:textId="77777777" w:rsidR="000813A9" w:rsidRPr="00CC5505" w:rsidRDefault="000813A9" w:rsidP="00E41129">
      <w:pPr>
        <w:pStyle w:val="Normal1"/>
        <w:widowControl w:val="0"/>
        <w:spacing w:line="276" w:lineRule="auto"/>
        <w:jc w:val="both"/>
        <w:rPr>
          <w:rFonts w:ascii="Book Antiqua" w:eastAsia="Cambria" w:hAnsi="Book Antiqua" w:cs="Cambria"/>
          <w:bCs/>
          <w:sz w:val="26"/>
          <w:szCs w:val="26"/>
        </w:rPr>
      </w:pPr>
    </w:p>
    <w:p w14:paraId="3DF85C4B" w14:textId="245D9F6D" w:rsidR="00DD5AD0" w:rsidRPr="00CC5505" w:rsidRDefault="003D573A" w:rsidP="00E41129">
      <w:pPr>
        <w:pStyle w:val="Normal1"/>
        <w:widowControl w:val="0"/>
        <w:spacing w:line="276" w:lineRule="auto"/>
        <w:jc w:val="both"/>
        <w:rPr>
          <w:rFonts w:ascii="Book Antiqua" w:eastAsia="Cambria" w:hAnsi="Book Antiqua" w:cs="Cambria"/>
          <w:b/>
          <w:sz w:val="26"/>
          <w:szCs w:val="26"/>
        </w:rPr>
      </w:pPr>
      <w:r w:rsidRPr="00CC5505">
        <w:rPr>
          <w:rFonts w:ascii="Book Antiqua" w:eastAsia="Cambria" w:hAnsi="Book Antiqua" w:cs="Cambria"/>
          <w:b/>
          <w:sz w:val="26"/>
          <w:szCs w:val="26"/>
        </w:rPr>
        <w:t>CONSLUSION</w:t>
      </w:r>
    </w:p>
    <w:p w14:paraId="19E4E75D" w14:textId="15B72115" w:rsidR="00F96072" w:rsidRPr="00CC5505" w:rsidRDefault="00E41129" w:rsidP="00E41129">
      <w:pPr>
        <w:pStyle w:val="Normal1"/>
        <w:widowControl w:val="0"/>
        <w:spacing w:line="276" w:lineRule="auto"/>
        <w:ind w:firstLine="567"/>
        <w:jc w:val="both"/>
        <w:rPr>
          <w:rFonts w:ascii="Book Antiqua" w:hAnsi="Book Antiqua"/>
          <w:bCs/>
          <w:sz w:val="26"/>
          <w:szCs w:val="26"/>
          <w:lang w:val="en-ID" w:eastAsia="en-US"/>
        </w:rPr>
      </w:pPr>
      <w:r w:rsidRPr="00CC5505">
        <w:rPr>
          <w:rFonts w:ascii="Book Antiqua" w:hAnsi="Book Antiqua"/>
          <w:bCs/>
          <w:sz w:val="26"/>
          <w:szCs w:val="26"/>
          <w:lang w:val="en-ID" w:eastAsia="en-US"/>
        </w:rPr>
        <w:t xml:space="preserve">Both IAI Batanghari and UIN Syarif </w:t>
      </w:r>
      <w:proofErr w:type="spellStart"/>
      <w:r w:rsidRPr="00CC5505">
        <w:rPr>
          <w:rFonts w:ascii="Book Antiqua" w:hAnsi="Book Antiqua"/>
          <w:bCs/>
          <w:sz w:val="26"/>
          <w:szCs w:val="26"/>
          <w:lang w:val="en-ID" w:eastAsia="en-US"/>
        </w:rPr>
        <w:t>Hidayatullah</w:t>
      </w:r>
      <w:proofErr w:type="spellEnd"/>
      <w:r w:rsidRPr="00CC5505">
        <w:rPr>
          <w:rFonts w:ascii="Book Antiqua" w:hAnsi="Book Antiqua"/>
          <w:bCs/>
          <w:sz w:val="26"/>
          <w:szCs w:val="26"/>
          <w:lang w:val="en-ID" w:eastAsia="en-US"/>
        </w:rPr>
        <w:t xml:space="preserve"> Jakarta have a strong approach to integrating sustainability principles into education and leadership. These institutions emphasize the importance of creating an educational environment that supports collaboration, community engagement, and the development of ethical values. Through programs focused on developing sustainability competencies, such as leadership training and community-based initiatives, they not only prepare students to become responsible leaders but also contribute positively to society. Additionally, supportive educational environment factors, such as adequate facilities and relevant curricula, play a crucial role in enhancing students' learning experiences. Thus, both universities act as agents of change in advancing the sustainable development agenda in Indonesia, producing graduates who are ready to face global challenges and are committed to creating significant social impact.</w:t>
      </w:r>
    </w:p>
    <w:p w14:paraId="061A5779" w14:textId="77777777" w:rsidR="00E41129" w:rsidRPr="00CC5505" w:rsidRDefault="00E41129" w:rsidP="00E41129">
      <w:pPr>
        <w:pStyle w:val="Normal1"/>
        <w:widowControl w:val="0"/>
        <w:spacing w:line="276" w:lineRule="auto"/>
        <w:jc w:val="both"/>
        <w:rPr>
          <w:rFonts w:ascii="Book Antiqua" w:eastAsia="Cambria" w:hAnsi="Book Antiqua" w:cs="Cambria"/>
          <w:b/>
          <w:sz w:val="26"/>
          <w:szCs w:val="26"/>
        </w:rPr>
      </w:pPr>
    </w:p>
    <w:p w14:paraId="2DB3E6AC" w14:textId="1AEDD0D8" w:rsidR="00F4171F" w:rsidRPr="00CC5505" w:rsidRDefault="00F4171F" w:rsidP="00E41129">
      <w:pPr>
        <w:pStyle w:val="Normal1"/>
        <w:widowControl w:val="0"/>
        <w:spacing w:line="276" w:lineRule="auto"/>
        <w:ind w:left="480" w:hanging="480"/>
        <w:jc w:val="both"/>
        <w:rPr>
          <w:rFonts w:ascii="Book Antiqua" w:eastAsia="Cambria" w:hAnsi="Book Antiqua" w:cs="Cambria"/>
          <w:b/>
          <w:sz w:val="26"/>
          <w:szCs w:val="26"/>
          <w:lang w:val="en-US"/>
        </w:rPr>
      </w:pPr>
      <w:r w:rsidRPr="00CC5505">
        <w:rPr>
          <w:rFonts w:ascii="Book Antiqua" w:eastAsia="Cambria" w:hAnsi="Book Antiqua" w:cs="Cambria"/>
          <w:b/>
          <w:sz w:val="26"/>
          <w:szCs w:val="26"/>
          <w:lang w:val="en-US"/>
        </w:rPr>
        <w:t>REFERENCE</w:t>
      </w:r>
    </w:p>
    <w:p w14:paraId="466C501A" w14:textId="53D8F6FC" w:rsidR="00877B1B" w:rsidRPr="00CC5505" w:rsidRDefault="00071DF7" w:rsidP="00CC5505">
      <w:pPr>
        <w:widowControl w:val="0"/>
        <w:autoSpaceDE w:val="0"/>
        <w:autoSpaceDN w:val="0"/>
        <w:adjustRightInd w:val="0"/>
        <w:ind w:left="480" w:hanging="480"/>
        <w:jc w:val="both"/>
        <w:rPr>
          <w:rFonts w:ascii="Book Antiqua" w:hAnsi="Book Antiqua"/>
          <w:noProof/>
          <w:sz w:val="26"/>
          <w:lang w:val="en-US"/>
        </w:rPr>
      </w:pPr>
      <w:r w:rsidRPr="00CC5505">
        <w:rPr>
          <w:rFonts w:ascii="Book Antiqua" w:eastAsia="Book Antiqua" w:hAnsi="Book Antiqua" w:cs="Book Antiqua"/>
          <w:sz w:val="26"/>
          <w:szCs w:val="26"/>
          <w:lang w:val="en-US"/>
        </w:rPr>
        <w:fldChar w:fldCharType="begin" w:fldLock="1"/>
      </w:r>
      <w:r w:rsidRPr="00CC5505">
        <w:rPr>
          <w:rFonts w:ascii="Book Antiqua" w:eastAsia="Book Antiqua" w:hAnsi="Book Antiqua" w:cs="Book Antiqua"/>
          <w:sz w:val="26"/>
          <w:szCs w:val="26"/>
          <w:lang w:val="en-US"/>
        </w:rPr>
        <w:instrText xml:space="preserve">ADDIN Mendeley Bibliography CSL_BIBLIOGRAPHY </w:instrText>
      </w:r>
      <w:r w:rsidRPr="00CC5505">
        <w:rPr>
          <w:rFonts w:ascii="Book Antiqua" w:eastAsia="Book Antiqua" w:hAnsi="Book Antiqua" w:cs="Book Antiqua"/>
          <w:sz w:val="26"/>
          <w:szCs w:val="26"/>
          <w:lang w:val="en-US"/>
        </w:rPr>
        <w:fldChar w:fldCharType="separate"/>
      </w:r>
      <w:bookmarkStart w:id="0" w:name="Aheleroff"/>
      <w:r w:rsidR="00877B1B" w:rsidRPr="00CC5505">
        <w:rPr>
          <w:rFonts w:ascii="Book Antiqua" w:hAnsi="Book Antiqua"/>
          <w:noProof/>
          <w:sz w:val="26"/>
          <w:lang w:val="en-US"/>
        </w:rPr>
        <w:t>Aheleroff</w:t>
      </w:r>
      <w:bookmarkEnd w:id="0"/>
      <w:r w:rsidR="00877B1B" w:rsidRPr="00CC5505">
        <w:rPr>
          <w:rFonts w:ascii="Book Antiqua" w:hAnsi="Book Antiqua"/>
          <w:noProof/>
          <w:sz w:val="26"/>
          <w:lang w:val="en-US"/>
        </w:rPr>
        <w:t xml:space="preserve">, S., Huang, H., Xu, X., &amp; Zhong, R. Y. (2022). Toward Sustainability and Resilience with Industry 4.0 and Industry 5.0. </w:t>
      </w:r>
      <w:r w:rsidR="00877B1B" w:rsidRPr="00CC5505">
        <w:rPr>
          <w:rFonts w:ascii="Book Antiqua" w:hAnsi="Book Antiqua"/>
          <w:i/>
          <w:iCs/>
          <w:noProof/>
          <w:sz w:val="26"/>
          <w:lang w:val="en-US"/>
        </w:rPr>
        <w:t>Frontiers in Manufacturing Technology</w:t>
      </w:r>
      <w:r w:rsidR="00877B1B" w:rsidRPr="00CC5505">
        <w:rPr>
          <w:rFonts w:ascii="Book Antiqua" w:hAnsi="Book Antiqua"/>
          <w:noProof/>
          <w:sz w:val="26"/>
          <w:lang w:val="en-US"/>
        </w:rPr>
        <w:t xml:space="preserve">, </w:t>
      </w:r>
      <w:r w:rsidR="00877B1B" w:rsidRPr="00CC5505">
        <w:rPr>
          <w:rFonts w:ascii="Book Antiqua" w:hAnsi="Book Antiqua"/>
          <w:i/>
          <w:iCs/>
          <w:noProof/>
          <w:sz w:val="26"/>
          <w:lang w:val="en-US"/>
        </w:rPr>
        <w:t>2</w:t>
      </w:r>
      <w:r w:rsidR="00877B1B" w:rsidRPr="00CC5505">
        <w:rPr>
          <w:rFonts w:ascii="Book Antiqua" w:hAnsi="Book Antiqua"/>
          <w:noProof/>
          <w:sz w:val="26"/>
          <w:lang w:val="en-US"/>
        </w:rPr>
        <w:t xml:space="preserve">. </w:t>
      </w:r>
      <w:hyperlink r:id="rId14" w:history="1">
        <w:r w:rsidR="00877B1B" w:rsidRPr="00CC5505">
          <w:rPr>
            <w:rStyle w:val="Hyperlink"/>
            <w:rFonts w:ascii="Book Antiqua" w:hAnsi="Book Antiqua"/>
            <w:noProof/>
            <w:sz w:val="26"/>
            <w:u w:val="none"/>
            <w:lang w:val="en-US"/>
          </w:rPr>
          <w:t>https://doi.org/10.3389/fmtec.2022.951643</w:t>
        </w:r>
      </w:hyperlink>
    </w:p>
    <w:p w14:paraId="4449E0D1" w14:textId="1EA81161" w:rsidR="00877B1B" w:rsidRPr="00CC5505" w:rsidRDefault="00877B1B" w:rsidP="00CC5505">
      <w:pPr>
        <w:widowControl w:val="0"/>
        <w:autoSpaceDE w:val="0"/>
        <w:autoSpaceDN w:val="0"/>
        <w:adjustRightInd w:val="0"/>
        <w:ind w:left="480" w:hanging="480"/>
        <w:jc w:val="both"/>
        <w:rPr>
          <w:rFonts w:ascii="Book Antiqua" w:hAnsi="Book Antiqua"/>
          <w:noProof/>
          <w:sz w:val="26"/>
          <w:lang w:val="en-US"/>
        </w:rPr>
      </w:pPr>
      <w:bookmarkStart w:id="1" w:name="Alonso"/>
      <w:r w:rsidRPr="00CC5505">
        <w:rPr>
          <w:rFonts w:ascii="Book Antiqua" w:hAnsi="Book Antiqua"/>
          <w:noProof/>
          <w:sz w:val="26"/>
          <w:lang w:val="en-US"/>
        </w:rPr>
        <w:t>Alonso</w:t>
      </w:r>
      <w:bookmarkEnd w:id="1"/>
      <w:r w:rsidRPr="00CC5505">
        <w:rPr>
          <w:rFonts w:ascii="Book Antiqua" w:hAnsi="Book Antiqua"/>
          <w:noProof/>
          <w:sz w:val="26"/>
          <w:lang w:val="en-US"/>
        </w:rPr>
        <w:t xml:space="preserve">-Almeida, M. del M., Marimon, F., Casani, F., &amp; Rodriguez-Pomeda, J. (2015). Diffusion of Sustainability Reporting in Universities: Current </w:t>
      </w:r>
      <w:r w:rsidRPr="00CC5505">
        <w:rPr>
          <w:rFonts w:ascii="Book Antiqua" w:hAnsi="Book Antiqua"/>
          <w:noProof/>
          <w:sz w:val="26"/>
          <w:lang w:val="en-US"/>
        </w:rPr>
        <w:lastRenderedPageBreak/>
        <w:t xml:space="preserve">Situation and Future Perspectives. </w:t>
      </w:r>
      <w:r w:rsidRPr="00CC5505">
        <w:rPr>
          <w:rFonts w:ascii="Book Antiqua" w:hAnsi="Book Antiqua"/>
          <w:i/>
          <w:iCs/>
          <w:noProof/>
          <w:sz w:val="26"/>
          <w:lang w:val="en-US"/>
        </w:rPr>
        <w:t>Journal of Cleaner Production</w:t>
      </w:r>
      <w:r w:rsidRPr="00CC5505">
        <w:rPr>
          <w:rFonts w:ascii="Book Antiqua" w:hAnsi="Book Antiqua"/>
          <w:noProof/>
          <w:sz w:val="26"/>
          <w:lang w:val="en-US"/>
        </w:rPr>
        <w:t xml:space="preserve">, </w:t>
      </w:r>
      <w:r w:rsidRPr="00CC5505">
        <w:rPr>
          <w:rFonts w:ascii="Book Antiqua" w:hAnsi="Book Antiqua"/>
          <w:i/>
          <w:iCs/>
          <w:noProof/>
          <w:sz w:val="26"/>
          <w:lang w:val="en-US"/>
        </w:rPr>
        <w:t>106</w:t>
      </w:r>
      <w:r w:rsidRPr="00CC5505">
        <w:rPr>
          <w:rFonts w:ascii="Book Antiqua" w:hAnsi="Book Antiqua"/>
          <w:noProof/>
          <w:sz w:val="26"/>
          <w:lang w:val="en-US"/>
        </w:rPr>
        <w:t xml:space="preserve">, 144–154. </w:t>
      </w:r>
      <w:hyperlink r:id="rId15" w:history="1">
        <w:r w:rsidRPr="00CC5505">
          <w:rPr>
            <w:rStyle w:val="Hyperlink"/>
            <w:rFonts w:ascii="Book Antiqua" w:hAnsi="Book Antiqua"/>
            <w:noProof/>
            <w:sz w:val="26"/>
            <w:u w:val="none"/>
            <w:lang w:val="en-US"/>
          </w:rPr>
          <w:t>https://doi.org/10.1016/j.jclepro.2014.02.008</w:t>
        </w:r>
      </w:hyperlink>
    </w:p>
    <w:p w14:paraId="614296ED" w14:textId="18412567" w:rsidR="00877B1B" w:rsidRPr="00CC5505" w:rsidRDefault="00877B1B" w:rsidP="00CC5505">
      <w:pPr>
        <w:widowControl w:val="0"/>
        <w:autoSpaceDE w:val="0"/>
        <w:autoSpaceDN w:val="0"/>
        <w:adjustRightInd w:val="0"/>
        <w:ind w:left="480" w:hanging="480"/>
        <w:jc w:val="both"/>
        <w:rPr>
          <w:rFonts w:ascii="Book Antiqua" w:hAnsi="Book Antiqua"/>
          <w:noProof/>
          <w:sz w:val="26"/>
          <w:lang w:val="en-US"/>
        </w:rPr>
      </w:pPr>
      <w:bookmarkStart w:id="2" w:name="Arroyo"/>
      <w:r w:rsidRPr="00CC5505">
        <w:rPr>
          <w:rFonts w:ascii="Book Antiqua" w:hAnsi="Book Antiqua"/>
          <w:noProof/>
          <w:sz w:val="26"/>
          <w:lang w:val="en-US"/>
        </w:rPr>
        <w:t>Arroyo</w:t>
      </w:r>
      <w:bookmarkEnd w:id="2"/>
      <w:r w:rsidRPr="00CC5505">
        <w:rPr>
          <w:rFonts w:ascii="Book Antiqua" w:hAnsi="Book Antiqua"/>
          <w:noProof/>
          <w:sz w:val="26"/>
          <w:lang w:val="en-US"/>
        </w:rPr>
        <w:t xml:space="preserve">, P. (2017). A New Taxonomy for Examining The Multi-Role of Campus Sustainability Assessments in Organizational Change. </w:t>
      </w:r>
      <w:r w:rsidRPr="00CC5505">
        <w:rPr>
          <w:rFonts w:ascii="Book Antiqua" w:hAnsi="Book Antiqua"/>
          <w:i/>
          <w:iCs/>
          <w:noProof/>
          <w:sz w:val="26"/>
          <w:lang w:val="en-US"/>
        </w:rPr>
        <w:t>Journal of Cleaner Production</w:t>
      </w:r>
      <w:r w:rsidRPr="00CC5505">
        <w:rPr>
          <w:rFonts w:ascii="Book Antiqua" w:hAnsi="Book Antiqua"/>
          <w:noProof/>
          <w:sz w:val="26"/>
          <w:lang w:val="en-US"/>
        </w:rPr>
        <w:t xml:space="preserve">, </w:t>
      </w:r>
      <w:r w:rsidRPr="00CC5505">
        <w:rPr>
          <w:rFonts w:ascii="Book Antiqua" w:hAnsi="Book Antiqua"/>
          <w:i/>
          <w:iCs/>
          <w:noProof/>
          <w:sz w:val="26"/>
          <w:lang w:val="en-US"/>
        </w:rPr>
        <w:t>140</w:t>
      </w:r>
      <w:r w:rsidRPr="00CC5505">
        <w:rPr>
          <w:rFonts w:ascii="Book Antiqua" w:hAnsi="Book Antiqua"/>
          <w:noProof/>
          <w:sz w:val="26"/>
          <w:lang w:val="en-US"/>
        </w:rPr>
        <w:t xml:space="preserve">, 1763–1774. </w:t>
      </w:r>
      <w:hyperlink r:id="rId16" w:history="1">
        <w:r w:rsidRPr="00CC5505">
          <w:rPr>
            <w:rStyle w:val="Hyperlink"/>
            <w:rFonts w:ascii="Book Antiqua" w:hAnsi="Book Antiqua"/>
            <w:noProof/>
            <w:sz w:val="26"/>
            <w:u w:val="none"/>
            <w:lang w:val="en-US"/>
          </w:rPr>
          <w:t>https://doi.org/10.1016/j.jclepro.2015.08.100</w:t>
        </w:r>
      </w:hyperlink>
    </w:p>
    <w:p w14:paraId="52A4FC9B" w14:textId="2387B9B3" w:rsidR="00877B1B" w:rsidRPr="00CC5505" w:rsidRDefault="00877B1B" w:rsidP="00CC5505">
      <w:pPr>
        <w:widowControl w:val="0"/>
        <w:autoSpaceDE w:val="0"/>
        <w:autoSpaceDN w:val="0"/>
        <w:adjustRightInd w:val="0"/>
        <w:ind w:left="480" w:hanging="480"/>
        <w:jc w:val="both"/>
        <w:rPr>
          <w:rFonts w:ascii="Book Antiqua" w:hAnsi="Book Antiqua"/>
          <w:noProof/>
          <w:sz w:val="26"/>
          <w:lang w:val="en-US"/>
        </w:rPr>
      </w:pPr>
      <w:bookmarkStart w:id="3" w:name="Augustinaite"/>
      <w:r w:rsidRPr="00CC5505">
        <w:rPr>
          <w:rFonts w:ascii="Book Antiqua" w:hAnsi="Book Antiqua"/>
          <w:noProof/>
          <w:sz w:val="26"/>
          <w:lang w:val="en-US"/>
        </w:rPr>
        <w:t>Augustinaite</w:t>
      </w:r>
      <w:bookmarkEnd w:id="3"/>
      <w:r w:rsidRPr="00CC5505">
        <w:rPr>
          <w:rFonts w:ascii="Book Antiqua" w:hAnsi="Book Antiqua"/>
          <w:noProof/>
          <w:sz w:val="26"/>
          <w:lang w:val="en-US"/>
        </w:rPr>
        <w:t xml:space="preserve">, D. (2024). The Art of Sustainable Architecture Creation and Evaluation. In C. M. (Ed.), </w:t>
      </w:r>
      <w:r w:rsidRPr="00CC5505">
        <w:rPr>
          <w:rFonts w:ascii="Book Antiqua" w:hAnsi="Book Antiqua"/>
          <w:i/>
          <w:iCs/>
          <w:noProof/>
          <w:sz w:val="26"/>
          <w:lang w:val="en-US"/>
        </w:rPr>
        <w:t>Lecture Notes in Civil Engineering</w:t>
      </w:r>
      <w:r w:rsidRPr="00CC5505">
        <w:rPr>
          <w:rFonts w:ascii="Book Antiqua" w:hAnsi="Book Antiqua"/>
          <w:noProof/>
          <w:sz w:val="26"/>
          <w:lang w:val="en-US"/>
        </w:rPr>
        <w:t xml:space="preserve"> (Vol. 389, pp. 539–552). Springer Science and Business Media Deutschland GmbH. </w:t>
      </w:r>
      <w:hyperlink r:id="rId17" w:history="1">
        <w:r w:rsidRPr="00CC5505">
          <w:rPr>
            <w:rStyle w:val="Hyperlink"/>
            <w:rFonts w:ascii="Book Antiqua" w:hAnsi="Book Antiqua"/>
            <w:noProof/>
            <w:sz w:val="26"/>
            <w:u w:val="none"/>
            <w:lang w:val="en-US"/>
          </w:rPr>
          <w:t>https://doi.org/10.1007/978-981-99-6368-3_45</w:t>
        </w:r>
      </w:hyperlink>
    </w:p>
    <w:p w14:paraId="1E7B9F7A" w14:textId="0F0C374A" w:rsidR="00877B1B" w:rsidRPr="00CC5505" w:rsidRDefault="00877B1B" w:rsidP="00CC5505">
      <w:pPr>
        <w:widowControl w:val="0"/>
        <w:autoSpaceDE w:val="0"/>
        <w:autoSpaceDN w:val="0"/>
        <w:adjustRightInd w:val="0"/>
        <w:ind w:left="480" w:hanging="480"/>
        <w:jc w:val="both"/>
        <w:rPr>
          <w:rFonts w:ascii="Book Antiqua" w:hAnsi="Book Antiqua"/>
          <w:noProof/>
          <w:sz w:val="26"/>
          <w:lang w:val="en-US"/>
        </w:rPr>
      </w:pPr>
      <w:bookmarkStart w:id="4" w:name="Bashori"/>
      <w:r w:rsidRPr="00CC5505">
        <w:rPr>
          <w:rFonts w:ascii="Book Antiqua" w:hAnsi="Book Antiqua"/>
          <w:noProof/>
          <w:sz w:val="26"/>
          <w:lang w:val="en-US"/>
        </w:rPr>
        <w:t>Bashori</w:t>
      </w:r>
      <w:bookmarkEnd w:id="4"/>
      <w:r w:rsidRPr="00CC5505">
        <w:rPr>
          <w:rFonts w:ascii="Book Antiqua" w:hAnsi="Book Antiqua"/>
          <w:noProof/>
          <w:sz w:val="26"/>
          <w:lang w:val="en-US"/>
        </w:rPr>
        <w:t xml:space="preserve">, B., Manumanoso Prasetyo, M. A., &amp; Rahmi, A. (2021). The Adiwiyata Islamic Boarding School Management (A Study of Participatory Leadership Style). </w:t>
      </w:r>
      <w:r w:rsidRPr="00CC5505">
        <w:rPr>
          <w:rFonts w:ascii="Book Antiqua" w:hAnsi="Book Antiqua"/>
          <w:i/>
          <w:iCs/>
          <w:noProof/>
          <w:sz w:val="26"/>
          <w:lang w:val="en-US"/>
        </w:rPr>
        <w:t>Al-Ta Lim Journal</w:t>
      </w:r>
      <w:r w:rsidRPr="00CC5505">
        <w:rPr>
          <w:rFonts w:ascii="Book Antiqua" w:hAnsi="Book Antiqua"/>
          <w:noProof/>
          <w:sz w:val="26"/>
          <w:lang w:val="en-US"/>
        </w:rPr>
        <w:t xml:space="preserve">, </w:t>
      </w:r>
      <w:r w:rsidRPr="00CC5505">
        <w:rPr>
          <w:rFonts w:ascii="Book Antiqua" w:hAnsi="Book Antiqua"/>
          <w:i/>
          <w:iCs/>
          <w:noProof/>
          <w:sz w:val="26"/>
          <w:lang w:val="en-US"/>
        </w:rPr>
        <w:t>28</w:t>
      </w:r>
      <w:r w:rsidRPr="00CC5505">
        <w:rPr>
          <w:rFonts w:ascii="Book Antiqua" w:hAnsi="Book Antiqua"/>
          <w:noProof/>
          <w:sz w:val="26"/>
          <w:lang w:val="en-US"/>
        </w:rPr>
        <w:t xml:space="preserve">(2), 104–116. </w:t>
      </w:r>
      <w:hyperlink r:id="rId18" w:history="1">
        <w:r w:rsidRPr="00CC5505">
          <w:rPr>
            <w:rStyle w:val="Hyperlink"/>
            <w:rFonts w:ascii="Book Antiqua" w:hAnsi="Book Antiqua"/>
            <w:noProof/>
            <w:sz w:val="26"/>
            <w:u w:val="none"/>
            <w:lang w:val="en-US"/>
          </w:rPr>
          <w:t>https://doi.org/10.15548/jt.v28i2.666</w:t>
        </w:r>
      </w:hyperlink>
    </w:p>
    <w:p w14:paraId="07A1C4A5" w14:textId="3AB2F8BD" w:rsidR="00877B1B" w:rsidRPr="00CC5505" w:rsidRDefault="00877B1B" w:rsidP="00CC5505">
      <w:pPr>
        <w:widowControl w:val="0"/>
        <w:autoSpaceDE w:val="0"/>
        <w:autoSpaceDN w:val="0"/>
        <w:adjustRightInd w:val="0"/>
        <w:ind w:left="480" w:hanging="480"/>
        <w:jc w:val="both"/>
        <w:rPr>
          <w:rFonts w:ascii="Book Antiqua" w:hAnsi="Book Antiqua"/>
          <w:noProof/>
          <w:sz w:val="26"/>
          <w:lang w:val="en-US"/>
        </w:rPr>
      </w:pPr>
      <w:bookmarkStart w:id="5" w:name="Cebrián"/>
      <w:r w:rsidRPr="00CC5505">
        <w:rPr>
          <w:rFonts w:ascii="Book Antiqua" w:hAnsi="Book Antiqua"/>
          <w:noProof/>
          <w:sz w:val="26"/>
          <w:lang w:val="en-US"/>
        </w:rPr>
        <w:t>Cebrián</w:t>
      </w:r>
      <w:bookmarkEnd w:id="5"/>
      <w:r w:rsidRPr="00CC5505">
        <w:rPr>
          <w:rFonts w:ascii="Book Antiqua" w:hAnsi="Book Antiqua"/>
          <w:noProof/>
          <w:sz w:val="26"/>
          <w:lang w:val="en-US"/>
        </w:rPr>
        <w:t xml:space="preserve">, G., Grace, M., &amp; Humphris, D. (2013). Organisational Learning towards Sustainability in Higher Education. </w:t>
      </w:r>
      <w:r w:rsidRPr="00CC5505">
        <w:rPr>
          <w:rFonts w:ascii="Book Antiqua" w:hAnsi="Book Antiqua"/>
          <w:i/>
          <w:iCs/>
          <w:noProof/>
          <w:sz w:val="26"/>
          <w:lang w:val="en-US"/>
        </w:rPr>
        <w:t>Sustainability Accounting, Management and Policy Journal</w:t>
      </w:r>
      <w:r w:rsidRPr="00CC5505">
        <w:rPr>
          <w:rFonts w:ascii="Book Antiqua" w:hAnsi="Book Antiqua"/>
          <w:noProof/>
          <w:sz w:val="26"/>
          <w:lang w:val="en-US"/>
        </w:rPr>
        <w:t xml:space="preserve">, </w:t>
      </w:r>
      <w:r w:rsidRPr="00CC5505">
        <w:rPr>
          <w:rFonts w:ascii="Book Antiqua" w:hAnsi="Book Antiqua"/>
          <w:i/>
          <w:iCs/>
          <w:noProof/>
          <w:sz w:val="26"/>
          <w:lang w:val="en-US"/>
        </w:rPr>
        <w:t>4</w:t>
      </w:r>
      <w:r w:rsidRPr="00CC5505">
        <w:rPr>
          <w:rFonts w:ascii="Book Antiqua" w:hAnsi="Book Antiqua"/>
          <w:noProof/>
          <w:sz w:val="26"/>
          <w:lang w:val="en-US"/>
        </w:rPr>
        <w:t xml:space="preserve">(3), 285–306. </w:t>
      </w:r>
      <w:hyperlink r:id="rId19" w:history="1">
        <w:r w:rsidRPr="00CC5505">
          <w:rPr>
            <w:rStyle w:val="Hyperlink"/>
            <w:rFonts w:ascii="Book Antiqua" w:hAnsi="Book Antiqua"/>
            <w:noProof/>
            <w:sz w:val="26"/>
            <w:u w:val="none"/>
            <w:lang w:val="en-US"/>
          </w:rPr>
          <w:t>https://doi.org/10.1108/SAMPJ-12-2012-0043</w:t>
        </w:r>
      </w:hyperlink>
    </w:p>
    <w:p w14:paraId="64019FB1" w14:textId="088F44B3" w:rsidR="00877B1B" w:rsidRPr="00CC5505" w:rsidRDefault="00877B1B" w:rsidP="00CC5505">
      <w:pPr>
        <w:widowControl w:val="0"/>
        <w:autoSpaceDE w:val="0"/>
        <w:autoSpaceDN w:val="0"/>
        <w:adjustRightInd w:val="0"/>
        <w:ind w:left="480" w:hanging="480"/>
        <w:jc w:val="both"/>
        <w:rPr>
          <w:rFonts w:ascii="Book Antiqua" w:hAnsi="Book Antiqua"/>
          <w:noProof/>
          <w:sz w:val="26"/>
          <w:lang w:val="en-US"/>
        </w:rPr>
      </w:pPr>
      <w:bookmarkStart w:id="6" w:name="Channa"/>
      <w:r w:rsidRPr="00CC5505">
        <w:rPr>
          <w:rFonts w:ascii="Book Antiqua" w:hAnsi="Book Antiqua"/>
          <w:noProof/>
          <w:sz w:val="26"/>
          <w:lang w:val="en-US"/>
        </w:rPr>
        <w:t>Channa</w:t>
      </w:r>
      <w:bookmarkEnd w:id="6"/>
      <w:r w:rsidRPr="00CC5505">
        <w:rPr>
          <w:rFonts w:ascii="Book Antiqua" w:hAnsi="Book Antiqua"/>
          <w:noProof/>
          <w:sz w:val="26"/>
          <w:lang w:val="en-US"/>
        </w:rPr>
        <w:t xml:space="preserve">, A. (2016). Popularity of the decentralization reform and its effects on the quality of education. </w:t>
      </w:r>
      <w:r w:rsidRPr="00CC5505">
        <w:rPr>
          <w:rFonts w:ascii="Book Antiqua" w:hAnsi="Book Antiqua"/>
          <w:i/>
          <w:iCs/>
          <w:noProof/>
          <w:sz w:val="26"/>
          <w:lang w:val="en-US"/>
        </w:rPr>
        <w:t>Prospects</w:t>
      </w:r>
      <w:r w:rsidRPr="00CC5505">
        <w:rPr>
          <w:rFonts w:ascii="Book Antiqua" w:hAnsi="Book Antiqua"/>
          <w:noProof/>
          <w:sz w:val="26"/>
          <w:lang w:val="en-US"/>
        </w:rPr>
        <w:t xml:space="preserve">, </w:t>
      </w:r>
      <w:r w:rsidRPr="00CC5505">
        <w:rPr>
          <w:rFonts w:ascii="Book Antiqua" w:hAnsi="Book Antiqua"/>
          <w:i/>
          <w:iCs/>
          <w:noProof/>
          <w:sz w:val="26"/>
          <w:lang w:val="en-US"/>
        </w:rPr>
        <w:t>46</w:t>
      </w:r>
      <w:r w:rsidRPr="00CC5505">
        <w:rPr>
          <w:rFonts w:ascii="Book Antiqua" w:hAnsi="Book Antiqua"/>
          <w:noProof/>
          <w:sz w:val="26"/>
          <w:lang w:val="en-US"/>
        </w:rPr>
        <w:t xml:space="preserve">(1), 131–147. </w:t>
      </w:r>
      <w:hyperlink r:id="rId20" w:history="1">
        <w:r w:rsidRPr="00CC5505">
          <w:rPr>
            <w:rStyle w:val="Hyperlink"/>
            <w:rFonts w:ascii="Book Antiqua" w:hAnsi="Book Antiqua"/>
            <w:noProof/>
            <w:sz w:val="26"/>
            <w:u w:val="none"/>
            <w:lang w:val="en-US"/>
          </w:rPr>
          <w:t>https://doi.org/10.1007/s11125-016-9380-7</w:t>
        </w:r>
      </w:hyperlink>
    </w:p>
    <w:p w14:paraId="2D583A85" w14:textId="1BBC016C" w:rsidR="00877B1B" w:rsidRPr="00CC5505" w:rsidRDefault="00877B1B" w:rsidP="00CC5505">
      <w:pPr>
        <w:widowControl w:val="0"/>
        <w:autoSpaceDE w:val="0"/>
        <w:autoSpaceDN w:val="0"/>
        <w:adjustRightInd w:val="0"/>
        <w:ind w:left="480" w:hanging="480"/>
        <w:jc w:val="both"/>
        <w:rPr>
          <w:rFonts w:ascii="Book Antiqua" w:hAnsi="Book Antiqua"/>
          <w:noProof/>
          <w:sz w:val="26"/>
          <w:lang w:val="en-US"/>
        </w:rPr>
      </w:pPr>
      <w:bookmarkStart w:id="7" w:name="Chourasia"/>
      <w:r w:rsidRPr="00CC5505">
        <w:rPr>
          <w:rFonts w:ascii="Book Antiqua" w:hAnsi="Book Antiqua"/>
          <w:noProof/>
          <w:sz w:val="26"/>
          <w:lang w:val="en-US"/>
        </w:rPr>
        <w:t>Chourasia</w:t>
      </w:r>
      <w:bookmarkEnd w:id="7"/>
      <w:r w:rsidRPr="00CC5505">
        <w:rPr>
          <w:rFonts w:ascii="Book Antiqua" w:hAnsi="Book Antiqua"/>
          <w:noProof/>
          <w:sz w:val="26"/>
          <w:lang w:val="en-US"/>
        </w:rPr>
        <w:t xml:space="preserve">, S., Tyagi, A., Pandey, S. M., Walia, R. S., &amp; Murtaza, Q. (2022). Sustainability of Industry 6.0 in Global Perspective: Benefits and Challenges. </w:t>
      </w:r>
      <w:r w:rsidRPr="00CC5505">
        <w:rPr>
          <w:rFonts w:ascii="Book Antiqua" w:hAnsi="Book Antiqua"/>
          <w:i/>
          <w:iCs/>
          <w:noProof/>
          <w:sz w:val="26"/>
          <w:lang w:val="en-US"/>
        </w:rPr>
        <w:t>MAPAN</w:t>
      </w:r>
      <w:r w:rsidRPr="00CC5505">
        <w:rPr>
          <w:rFonts w:ascii="Book Antiqua" w:hAnsi="Book Antiqua"/>
          <w:noProof/>
          <w:sz w:val="26"/>
          <w:lang w:val="en-US"/>
        </w:rPr>
        <w:t xml:space="preserve">, </w:t>
      </w:r>
      <w:r w:rsidRPr="00CC5505">
        <w:rPr>
          <w:rFonts w:ascii="Book Antiqua" w:hAnsi="Book Antiqua"/>
          <w:i/>
          <w:iCs/>
          <w:noProof/>
          <w:sz w:val="26"/>
          <w:lang w:val="en-US"/>
        </w:rPr>
        <w:t>37</w:t>
      </w:r>
      <w:r w:rsidRPr="00CC5505">
        <w:rPr>
          <w:rFonts w:ascii="Book Antiqua" w:hAnsi="Book Antiqua"/>
          <w:noProof/>
          <w:sz w:val="26"/>
          <w:lang w:val="en-US"/>
        </w:rPr>
        <w:t xml:space="preserve">(2), 443–452. </w:t>
      </w:r>
      <w:hyperlink r:id="rId21" w:history="1">
        <w:r w:rsidRPr="00CC5505">
          <w:rPr>
            <w:rStyle w:val="Hyperlink"/>
            <w:rFonts w:ascii="Book Antiqua" w:hAnsi="Book Antiqua"/>
            <w:noProof/>
            <w:sz w:val="26"/>
            <w:u w:val="none"/>
            <w:lang w:val="en-US"/>
          </w:rPr>
          <w:t>https://doi.org/10.1007/s12647-022-00541-w</w:t>
        </w:r>
      </w:hyperlink>
    </w:p>
    <w:p w14:paraId="2CC9C567" w14:textId="7CAF690F" w:rsidR="00877B1B" w:rsidRPr="00CC5505" w:rsidRDefault="00877B1B" w:rsidP="00CC5505">
      <w:pPr>
        <w:widowControl w:val="0"/>
        <w:autoSpaceDE w:val="0"/>
        <w:autoSpaceDN w:val="0"/>
        <w:adjustRightInd w:val="0"/>
        <w:ind w:left="480" w:hanging="480"/>
        <w:jc w:val="both"/>
        <w:rPr>
          <w:rFonts w:ascii="Book Antiqua" w:hAnsi="Book Antiqua"/>
          <w:noProof/>
          <w:sz w:val="26"/>
          <w:lang w:val="en-US"/>
        </w:rPr>
      </w:pPr>
      <w:bookmarkStart w:id="8" w:name="Espinosa"/>
      <w:r w:rsidRPr="00CC5505">
        <w:rPr>
          <w:rFonts w:ascii="Book Antiqua" w:hAnsi="Book Antiqua"/>
          <w:noProof/>
          <w:sz w:val="26"/>
          <w:lang w:val="en-US"/>
        </w:rPr>
        <w:t>Espinosa</w:t>
      </w:r>
      <w:bookmarkEnd w:id="8"/>
      <w:r w:rsidRPr="00CC5505">
        <w:rPr>
          <w:rFonts w:ascii="Book Antiqua" w:hAnsi="Book Antiqua"/>
          <w:noProof/>
          <w:sz w:val="26"/>
          <w:lang w:val="en-US"/>
        </w:rPr>
        <w:t xml:space="preserve">, A., &amp; Porter, T. (2011). Sustainability, Complexity and Learning: Insights from Complex Systems Approaches. </w:t>
      </w:r>
      <w:r w:rsidRPr="00CC5505">
        <w:rPr>
          <w:rFonts w:ascii="Book Antiqua" w:hAnsi="Book Antiqua"/>
          <w:i/>
          <w:iCs/>
          <w:noProof/>
          <w:sz w:val="26"/>
          <w:lang w:val="en-US"/>
        </w:rPr>
        <w:t>The Learning Organization</w:t>
      </w:r>
      <w:r w:rsidRPr="00CC5505">
        <w:rPr>
          <w:rFonts w:ascii="Book Antiqua" w:hAnsi="Book Antiqua"/>
          <w:noProof/>
          <w:sz w:val="26"/>
          <w:lang w:val="en-US"/>
        </w:rPr>
        <w:t xml:space="preserve">, </w:t>
      </w:r>
      <w:r w:rsidRPr="00CC5505">
        <w:rPr>
          <w:rFonts w:ascii="Book Antiqua" w:hAnsi="Book Antiqua"/>
          <w:i/>
          <w:iCs/>
          <w:noProof/>
          <w:sz w:val="26"/>
          <w:lang w:val="en-US"/>
        </w:rPr>
        <w:t>18</w:t>
      </w:r>
      <w:r w:rsidRPr="00CC5505">
        <w:rPr>
          <w:rFonts w:ascii="Book Antiqua" w:hAnsi="Book Antiqua"/>
          <w:noProof/>
          <w:sz w:val="26"/>
          <w:lang w:val="en-US"/>
        </w:rPr>
        <w:t xml:space="preserve">(1), 54–72. </w:t>
      </w:r>
      <w:hyperlink r:id="rId22" w:history="1">
        <w:r w:rsidRPr="00CC5505">
          <w:rPr>
            <w:rStyle w:val="Hyperlink"/>
            <w:rFonts w:ascii="Book Antiqua" w:hAnsi="Book Antiqua"/>
            <w:noProof/>
            <w:sz w:val="26"/>
            <w:u w:val="none"/>
            <w:lang w:val="en-US"/>
          </w:rPr>
          <w:t>https://doi.org/10.1108/09696471111096000</w:t>
        </w:r>
      </w:hyperlink>
    </w:p>
    <w:p w14:paraId="53A6C607" w14:textId="77777777" w:rsidR="00877B1B" w:rsidRPr="00CC5505" w:rsidRDefault="00877B1B" w:rsidP="00CC5505">
      <w:pPr>
        <w:widowControl w:val="0"/>
        <w:autoSpaceDE w:val="0"/>
        <w:autoSpaceDN w:val="0"/>
        <w:adjustRightInd w:val="0"/>
        <w:ind w:left="480" w:hanging="480"/>
        <w:jc w:val="both"/>
        <w:rPr>
          <w:rFonts w:ascii="Book Antiqua" w:hAnsi="Book Antiqua"/>
          <w:noProof/>
          <w:sz w:val="26"/>
          <w:lang w:val="en-US"/>
        </w:rPr>
      </w:pPr>
      <w:bookmarkStart w:id="9" w:name="Januarti"/>
      <w:r w:rsidRPr="00CC5505">
        <w:rPr>
          <w:rFonts w:ascii="Book Antiqua" w:hAnsi="Book Antiqua"/>
          <w:noProof/>
          <w:sz w:val="26"/>
          <w:lang w:val="en-US"/>
        </w:rPr>
        <w:t>Januarti</w:t>
      </w:r>
      <w:bookmarkEnd w:id="9"/>
      <w:r w:rsidRPr="00CC5505">
        <w:rPr>
          <w:rFonts w:ascii="Book Antiqua" w:hAnsi="Book Antiqua"/>
          <w:noProof/>
          <w:sz w:val="26"/>
          <w:lang w:val="en-US"/>
        </w:rPr>
        <w:t xml:space="preserve">, R. T., Sukendro, A., Apriyadi, R. K., &amp; Ruskar, D. (2021). Socio-economic resilience of Pidie Jaya to against disaster in the terms of national security. In C. L., S. S., S. I.W., &amp; F. null (Eds.), </w:t>
      </w:r>
      <w:r w:rsidRPr="00CC5505">
        <w:rPr>
          <w:rFonts w:ascii="Book Antiqua" w:hAnsi="Book Antiqua"/>
          <w:i/>
          <w:iCs/>
          <w:noProof/>
          <w:sz w:val="26"/>
          <w:lang w:val="en-US"/>
        </w:rPr>
        <w:t>E3S Web of Conferences</w:t>
      </w:r>
      <w:r w:rsidRPr="00CC5505">
        <w:rPr>
          <w:rFonts w:ascii="Book Antiqua" w:hAnsi="Book Antiqua"/>
          <w:noProof/>
          <w:sz w:val="26"/>
          <w:lang w:val="en-US"/>
        </w:rPr>
        <w:t xml:space="preserve"> (Vol. 331). EDP Sciences. https://doi.org/10.1051/e3sconf/202133102006</w:t>
      </w:r>
    </w:p>
    <w:p w14:paraId="4007CA91" w14:textId="1B7C76B9" w:rsidR="00877B1B" w:rsidRPr="00CC5505" w:rsidRDefault="00877B1B" w:rsidP="00CC5505">
      <w:pPr>
        <w:widowControl w:val="0"/>
        <w:autoSpaceDE w:val="0"/>
        <w:autoSpaceDN w:val="0"/>
        <w:adjustRightInd w:val="0"/>
        <w:ind w:left="480" w:hanging="480"/>
        <w:jc w:val="both"/>
        <w:rPr>
          <w:rFonts w:ascii="Book Antiqua" w:hAnsi="Book Antiqua"/>
          <w:noProof/>
          <w:sz w:val="26"/>
          <w:lang w:val="en-US"/>
        </w:rPr>
      </w:pPr>
      <w:bookmarkStart w:id="10" w:name="Joshi"/>
      <w:r w:rsidRPr="00CC5505">
        <w:rPr>
          <w:rFonts w:ascii="Book Antiqua" w:hAnsi="Book Antiqua"/>
          <w:noProof/>
          <w:sz w:val="26"/>
          <w:lang w:val="en-US"/>
        </w:rPr>
        <w:t>Joshi</w:t>
      </w:r>
      <w:bookmarkEnd w:id="10"/>
      <w:r w:rsidRPr="00CC5505">
        <w:rPr>
          <w:rFonts w:ascii="Book Antiqua" w:hAnsi="Book Antiqua"/>
          <w:noProof/>
          <w:sz w:val="26"/>
          <w:lang w:val="en-US"/>
        </w:rPr>
        <w:t xml:space="preserve">, J. (2021). Competitiveness, Manufacturing and Infrastructure: The Asian Paradigm. </w:t>
      </w:r>
      <w:r w:rsidRPr="00CC5505">
        <w:rPr>
          <w:rFonts w:ascii="Book Antiqua" w:hAnsi="Book Antiqua"/>
          <w:i/>
          <w:iCs/>
          <w:noProof/>
          <w:sz w:val="26"/>
          <w:lang w:val="en-US"/>
        </w:rPr>
        <w:t>Journal of Development Policy and Practice</w:t>
      </w:r>
      <w:r w:rsidRPr="00CC5505">
        <w:rPr>
          <w:rFonts w:ascii="Book Antiqua" w:hAnsi="Book Antiqua"/>
          <w:noProof/>
          <w:sz w:val="26"/>
          <w:lang w:val="en-US"/>
        </w:rPr>
        <w:t xml:space="preserve">, </w:t>
      </w:r>
      <w:r w:rsidRPr="00CC5505">
        <w:rPr>
          <w:rFonts w:ascii="Book Antiqua" w:hAnsi="Book Antiqua"/>
          <w:i/>
          <w:iCs/>
          <w:noProof/>
          <w:sz w:val="26"/>
          <w:lang w:val="en-US"/>
        </w:rPr>
        <w:t>6</w:t>
      </w:r>
      <w:r w:rsidRPr="00CC5505">
        <w:rPr>
          <w:rFonts w:ascii="Book Antiqua" w:hAnsi="Book Antiqua"/>
          <w:noProof/>
          <w:sz w:val="26"/>
          <w:lang w:val="en-US"/>
        </w:rPr>
        <w:t xml:space="preserve">(1), 78–107. </w:t>
      </w:r>
      <w:hyperlink r:id="rId23" w:history="1">
        <w:r w:rsidRPr="00CC5505">
          <w:rPr>
            <w:rStyle w:val="Hyperlink"/>
            <w:rFonts w:ascii="Book Antiqua" w:hAnsi="Book Antiqua"/>
            <w:noProof/>
            <w:sz w:val="26"/>
            <w:u w:val="none"/>
            <w:lang w:val="en-US"/>
          </w:rPr>
          <w:t>https://doi.org/10.1177/2455133321994210</w:t>
        </w:r>
      </w:hyperlink>
    </w:p>
    <w:p w14:paraId="05F2F638" w14:textId="14162B25" w:rsidR="00877B1B" w:rsidRPr="00CC5505" w:rsidRDefault="00877B1B" w:rsidP="00CC5505">
      <w:pPr>
        <w:widowControl w:val="0"/>
        <w:autoSpaceDE w:val="0"/>
        <w:autoSpaceDN w:val="0"/>
        <w:adjustRightInd w:val="0"/>
        <w:ind w:left="480" w:hanging="480"/>
        <w:jc w:val="both"/>
        <w:rPr>
          <w:rFonts w:ascii="Book Antiqua" w:hAnsi="Book Antiqua"/>
          <w:noProof/>
          <w:sz w:val="26"/>
          <w:lang w:val="en-US"/>
        </w:rPr>
      </w:pPr>
      <w:bookmarkStart w:id="11" w:name="Kandhias"/>
      <w:r w:rsidRPr="00CC5505">
        <w:rPr>
          <w:rFonts w:ascii="Book Antiqua" w:hAnsi="Book Antiqua"/>
          <w:noProof/>
          <w:sz w:val="26"/>
          <w:lang w:val="en-US"/>
        </w:rPr>
        <w:t>Kandhias</w:t>
      </w:r>
      <w:bookmarkEnd w:id="11"/>
      <w:r w:rsidRPr="00CC5505">
        <w:rPr>
          <w:rFonts w:ascii="Book Antiqua" w:hAnsi="Book Antiqua"/>
          <w:noProof/>
          <w:sz w:val="26"/>
          <w:lang w:val="en-US"/>
        </w:rPr>
        <w:t xml:space="preserve"> Akbar, Y., Ariana, S., Setyadi, A., Pawirosumarto, S., &amp; Endri, E. (2024). Human Capital and Sustainable University: Mediating role of Sustainable Human Resource Management in Indonesia. </w:t>
      </w:r>
      <w:r w:rsidRPr="00CC5505">
        <w:rPr>
          <w:rFonts w:ascii="Book Antiqua" w:hAnsi="Book Antiqua"/>
          <w:i/>
          <w:iCs/>
          <w:noProof/>
          <w:sz w:val="26"/>
          <w:lang w:val="en-US"/>
        </w:rPr>
        <w:t>Problems and Perspectives in Management</w:t>
      </w:r>
      <w:r w:rsidRPr="00CC5505">
        <w:rPr>
          <w:rFonts w:ascii="Book Antiqua" w:hAnsi="Book Antiqua"/>
          <w:noProof/>
          <w:sz w:val="26"/>
          <w:lang w:val="en-US"/>
        </w:rPr>
        <w:t xml:space="preserve">, </w:t>
      </w:r>
      <w:r w:rsidRPr="00CC5505">
        <w:rPr>
          <w:rFonts w:ascii="Book Antiqua" w:hAnsi="Book Antiqua"/>
          <w:i/>
          <w:iCs/>
          <w:noProof/>
          <w:sz w:val="26"/>
          <w:lang w:val="en-US"/>
        </w:rPr>
        <w:t>22</w:t>
      </w:r>
      <w:r w:rsidRPr="00CC5505">
        <w:rPr>
          <w:rFonts w:ascii="Book Antiqua" w:hAnsi="Book Antiqua"/>
          <w:noProof/>
          <w:sz w:val="26"/>
          <w:lang w:val="en-US"/>
        </w:rPr>
        <w:t xml:space="preserve">(1), 182–192. </w:t>
      </w:r>
      <w:hyperlink r:id="rId24" w:history="1">
        <w:r w:rsidRPr="00CC5505">
          <w:rPr>
            <w:rStyle w:val="Hyperlink"/>
            <w:rFonts w:ascii="Book Antiqua" w:hAnsi="Book Antiqua"/>
            <w:noProof/>
            <w:sz w:val="26"/>
            <w:u w:val="none"/>
            <w:lang w:val="en-US"/>
          </w:rPr>
          <w:t>https://doi.org/10.21511/ppm.22(1).2024.16</w:t>
        </w:r>
      </w:hyperlink>
    </w:p>
    <w:p w14:paraId="54DC7824" w14:textId="6F7FED16" w:rsidR="00877B1B" w:rsidRPr="00CC5505" w:rsidRDefault="00877B1B" w:rsidP="00CC5505">
      <w:pPr>
        <w:widowControl w:val="0"/>
        <w:autoSpaceDE w:val="0"/>
        <w:autoSpaceDN w:val="0"/>
        <w:adjustRightInd w:val="0"/>
        <w:ind w:left="480" w:hanging="480"/>
        <w:jc w:val="both"/>
        <w:rPr>
          <w:rFonts w:ascii="Book Antiqua" w:hAnsi="Book Antiqua"/>
          <w:noProof/>
          <w:sz w:val="26"/>
          <w:lang w:val="en-US"/>
        </w:rPr>
      </w:pPr>
      <w:bookmarkStart w:id="12" w:name="Martin"/>
      <w:r w:rsidRPr="00CC5505">
        <w:rPr>
          <w:rFonts w:ascii="Book Antiqua" w:hAnsi="Book Antiqua"/>
          <w:noProof/>
          <w:sz w:val="26"/>
          <w:lang w:val="en-US"/>
        </w:rPr>
        <w:t>Martin</w:t>
      </w:r>
      <w:bookmarkEnd w:id="12"/>
      <w:r w:rsidRPr="00CC5505">
        <w:rPr>
          <w:rFonts w:ascii="Book Antiqua" w:hAnsi="Book Antiqua"/>
          <w:noProof/>
          <w:sz w:val="26"/>
          <w:lang w:val="en-US"/>
        </w:rPr>
        <w:t xml:space="preserve">, A., Armijos, M. T., Coolsaet, B., Dawson, N., A. S. Edwards, G., Few, </w:t>
      </w:r>
      <w:r w:rsidRPr="00CC5505">
        <w:rPr>
          <w:rFonts w:ascii="Book Antiqua" w:hAnsi="Book Antiqua"/>
          <w:noProof/>
          <w:sz w:val="26"/>
          <w:lang w:val="en-US"/>
        </w:rPr>
        <w:lastRenderedPageBreak/>
        <w:t xml:space="preserve">R., Gross-Camp, N., Rodriguez, I., Schroeder, H., G. L. Tebboth, M., White, C. S., &amp; ... (2020). Environmental Justice and Transformations to Sustainability. </w:t>
      </w:r>
      <w:r w:rsidRPr="00CC5505">
        <w:rPr>
          <w:rFonts w:ascii="Book Antiqua" w:hAnsi="Book Antiqua"/>
          <w:i/>
          <w:iCs/>
          <w:noProof/>
          <w:sz w:val="26"/>
          <w:lang w:val="en-US"/>
        </w:rPr>
        <w:t>Environment: Science and Policy for Sustainable Development</w:t>
      </w:r>
      <w:r w:rsidRPr="00CC5505">
        <w:rPr>
          <w:rFonts w:ascii="Book Antiqua" w:hAnsi="Book Antiqua"/>
          <w:noProof/>
          <w:sz w:val="26"/>
          <w:lang w:val="en-US"/>
        </w:rPr>
        <w:t xml:space="preserve">, </w:t>
      </w:r>
      <w:r w:rsidRPr="00CC5505">
        <w:rPr>
          <w:rFonts w:ascii="Book Antiqua" w:hAnsi="Book Antiqua"/>
          <w:i/>
          <w:iCs/>
          <w:noProof/>
          <w:sz w:val="26"/>
          <w:lang w:val="en-US"/>
        </w:rPr>
        <w:t>62</w:t>
      </w:r>
      <w:r w:rsidRPr="00CC5505">
        <w:rPr>
          <w:rFonts w:ascii="Book Antiqua" w:hAnsi="Book Antiqua"/>
          <w:noProof/>
          <w:sz w:val="26"/>
          <w:lang w:val="en-US"/>
        </w:rPr>
        <w:t xml:space="preserve">(6), 19–30. </w:t>
      </w:r>
      <w:hyperlink r:id="rId25" w:history="1">
        <w:r w:rsidRPr="00CC5505">
          <w:rPr>
            <w:rStyle w:val="Hyperlink"/>
            <w:rFonts w:ascii="Book Antiqua" w:hAnsi="Book Antiqua"/>
            <w:noProof/>
            <w:sz w:val="26"/>
            <w:u w:val="none"/>
            <w:lang w:val="en-US"/>
          </w:rPr>
          <w:t>https://doi.org/10.1080/00139157.2020.1820294</w:t>
        </w:r>
      </w:hyperlink>
    </w:p>
    <w:p w14:paraId="28F9E6F4" w14:textId="77777777" w:rsidR="00877B1B" w:rsidRPr="00CC5505" w:rsidRDefault="00877B1B" w:rsidP="00CC5505">
      <w:pPr>
        <w:widowControl w:val="0"/>
        <w:autoSpaceDE w:val="0"/>
        <w:autoSpaceDN w:val="0"/>
        <w:adjustRightInd w:val="0"/>
        <w:ind w:left="480" w:hanging="480"/>
        <w:jc w:val="both"/>
        <w:rPr>
          <w:rFonts w:ascii="Book Antiqua" w:hAnsi="Book Antiqua"/>
          <w:noProof/>
          <w:sz w:val="26"/>
          <w:lang w:val="en-US"/>
        </w:rPr>
      </w:pPr>
      <w:bookmarkStart w:id="13" w:name="McGill"/>
      <w:r w:rsidRPr="00CC5505">
        <w:rPr>
          <w:rFonts w:ascii="Book Antiqua" w:hAnsi="Book Antiqua"/>
          <w:noProof/>
          <w:sz w:val="26"/>
          <w:lang w:val="en-US"/>
        </w:rPr>
        <w:t>McGill</w:t>
      </w:r>
      <w:bookmarkEnd w:id="13"/>
      <w:r w:rsidRPr="00CC5505">
        <w:rPr>
          <w:rFonts w:ascii="Book Antiqua" w:hAnsi="Book Antiqua"/>
          <w:noProof/>
          <w:sz w:val="26"/>
          <w:lang w:val="en-US"/>
        </w:rPr>
        <w:t xml:space="preserve">, M. (2006). Leadership &amp; Sustainability: System Thinkers in Action. </w:t>
      </w:r>
      <w:r w:rsidRPr="00CC5505">
        <w:rPr>
          <w:rFonts w:ascii="Book Antiqua" w:hAnsi="Book Antiqua"/>
          <w:i/>
          <w:iCs/>
          <w:noProof/>
          <w:sz w:val="26"/>
          <w:lang w:val="en-US"/>
        </w:rPr>
        <w:t>Teachers College Record</w:t>
      </w:r>
      <w:r w:rsidRPr="00CC5505">
        <w:rPr>
          <w:rFonts w:ascii="Book Antiqua" w:hAnsi="Book Antiqua"/>
          <w:noProof/>
          <w:sz w:val="26"/>
          <w:lang w:val="en-US"/>
        </w:rPr>
        <w:t xml:space="preserve">, </w:t>
      </w:r>
      <w:r w:rsidRPr="00CC5505">
        <w:rPr>
          <w:rFonts w:ascii="Book Antiqua" w:hAnsi="Book Antiqua"/>
          <w:i/>
          <w:iCs/>
          <w:noProof/>
          <w:sz w:val="26"/>
          <w:lang w:val="en-US"/>
        </w:rPr>
        <w:t>108</w:t>
      </w:r>
      <w:r w:rsidRPr="00CC5505">
        <w:rPr>
          <w:rFonts w:ascii="Book Antiqua" w:hAnsi="Book Antiqua"/>
          <w:noProof/>
          <w:sz w:val="26"/>
          <w:lang w:val="en-US"/>
        </w:rPr>
        <w:t>(1), 8–11.</w:t>
      </w:r>
    </w:p>
    <w:p w14:paraId="161DEB5F" w14:textId="5E23027C" w:rsidR="00877B1B" w:rsidRPr="00CC5505" w:rsidRDefault="00877B1B" w:rsidP="00CC5505">
      <w:pPr>
        <w:widowControl w:val="0"/>
        <w:autoSpaceDE w:val="0"/>
        <w:autoSpaceDN w:val="0"/>
        <w:adjustRightInd w:val="0"/>
        <w:ind w:left="480" w:hanging="480"/>
        <w:jc w:val="both"/>
        <w:rPr>
          <w:rFonts w:ascii="Book Antiqua" w:hAnsi="Book Antiqua"/>
          <w:noProof/>
          <w:sz w:val="26"/>
          <w:lang w:val="en-US"/>
        </w:rPr>
      </w:pPr>
      <w:bookmarkStart w:id="14" w:name="Moore"/>
      <w:r w:rsidRPr="00CC5505">
        <w:rPr>
          <w:rFonts w:ascii="Book Antiqua" w:hAnsi="Book Antiqua"/>
          <w:noProof/>
          <w:sz w:val="26"/>
          <w:lang w:val="en-US"/>
        </w:rPr>
        <w:t>Moore</w:t>
      </w:r>
      <w:bookmarkEnd w:id="14"/>
      <w:r w:rsidRPr="00CC5505">
        <w:rPr>
          <w:rFonts w:ascii="Book Antiqua" w:hAnsi="Book Antiqua"/>
          <w:noProof/>
          <w:sz w:val="26"/>
          <w:lang w:val="en-US"/>
        </w:rPr>
        <w:t xml:space="preserve">, H. L. (2015). Global Prosperity and Sustainable Development Goals. </w:t>
      </w:r>
      <w:r w:rsidRPr="00CC5505">
        <w:rPr>
          <w:rFonts w:ascii="Book Antiqua" w:hAnsi="Book Antiqua"/>
          <w:i/>
          <w:iCs/>
          <w:noProof/>
          <w:sz w:val="26"/>
          <w:lang w:val="en-US"/>
        </w:rPr>
        <w:t>Journal of International Development</w:t>
      </w:r>
      <w:r w:rsidRPr="00CC5505">
        <w:rPr>
          <w:rFonts w:ascii="Book Antiqua" w:hAnsi="Book Antiqua"/>
          <w:noProof/>
          <w:sz w:val="26"/>
          <w:lang w:val="en-US"/>
        </w:rPr>
        <w:t xml:space="preserve">, </w:t>
      </w:r>
      <w:r w:rsidRPr="00CC5505">
        <w:rPr>
          <w:rFonts w:ascii="Book Antiqua" w:hAnsi="Book Antiqua"/>
          <w:i/>
          <w:iCs/>
          <w:noProof/>
          <w:sz w:val="26"/>
          <w:lang w:val="en-US"/>
        </w:rPr>
        <w:t>27</w:t>
      </w:r>
      <w:r w:rsidRPr="00CC5505">
        <w:rPr>
          <w:rFonts w:ascii="Book Antiqua" w:hAnsi="Book Antiqua"/>
          <w:noProof/>
          <w:sz w:val="26"/>
          <w:lang w:val="en-US"/>
        </w:rPr>
        <w:t xml:space="preserve">(6), 801–815. </w:t>
      </w:r>
      <w:hyperlink r:id="rId26" w:history="1">
        <w:r w:rsidRPr="00CC5505">
          <w:rPr>
            <w:rStyle w:val="Hyperlink"/>
            <w:rFonts w:ascii="Book Antiqua" w:hAnsi="Book Antiqua"/>
            <w:noProof/>
            <w:sz w:val="26"/>
            <w:u w:val="none"/>
            <w:lang w:val="en-US"/>
          </w:rPr>
          <w:t>https://doi.org/10.1002/jid.3114</w:t>
        </w:r>
      </w:hyperlink>
    </w:p>
    <w:p w14:paraId="14DB4EFE" w14:textId="77777777" w:rsidR="00877B1B" w:rsidRPr="00CC5505" w:rsidRDefault="00877B1B" w:rsidP="00CC5505">
      <w:pPr>
        <w:widowControl w:val="0"/>
        <w:autoSpaceDE w:val="0"/>
        <w:autoSpaceDN w:val="0"/>
        <w:adjustRightInd w:val="0"/>
        <w:ind w:left="480" w:hanging="480"/>
        <w:jc w:val="both"/>
        <w:rPr>
          <w:rFonts w:ascii="Book Antiqua" w:hAnsi="Book Antiqua"/>
          <w:noProof/>
          <w:sz w:val="26"/>
          <w:lang w:val="en-US"/>
        </w:rPr>
      </w:pPr>
      <w:bookmarkStart w:id="15" w:name="Obal"/>
      <w:r w:rsidRPr="00CC5505">
        <w:rPr>
          <w:rFonts w:ascii="Book Antiqua" w:hAnsi="Book Antiqua"/>
          <w:noProof/>
          <w:sz w:val="26"/>
          <w:lang w:val="en-US"/>
        </w:rPr>
        <w:t>Obal</w:t>
      </w:r>
      <w:bookmarkEnd w:id="15"/>
      <w:r w:rsidRPr="00CC5505">
        <w:rPr>
          <w:rFonts w:ascii="Book Antiqua" w:hAnsi="Book Antiqua"/>
          <w:noProof/>
          <w:sz w:val="26"/>
          <w:lang w:val="en-US"/>
        </w:rPr>
        <w:t xml:space="preserve">, M., Morgan, T., &amp; Joseph, G. (2020). Integrating Sustainability into New Product Development: The Role of Organizational Leadership and Culture. </w:t>
      </w:r>
      <w:r w:rsidRPr="00CC5505">
        <w:rPr>
          <w:rFonts w:ascii="Book Antiqua" w:hAnsi="Book Antiqua"/>
          <w:i/>
          <w:iCs/>
          <w:noProof/>
          <w:sz w:val="26"/>
          <w:lang w:val="en-US"/>
        </w:rPr>
        <w:t>Journal of Small Business Strategy</w:t>
      </w:r>
      <w:r w:rsidRPr="00CC5505">
        <w:rPr>
          <w:rFonts w:ascii="Book Antiqua" w:hAnsi="Book Antiqua"/>
          <w:noProof/>
          <w:sz w:val="26"/>
          <w:lang w:val="en-US"/>
        </w:rPr>
        <w:t xml:space="preserve">, </w:t>
      </w:r>
      <w:r w:rsidRPr="00CC5505">
        <w:rPr>
          <w:rFonts w:ascii="Book Antiqua" w:hAnsi="Book Antiqua"/>
          <w:i/>
          <w:iCs/>
          <w:noProof/>
          <w:sz w:val="26"/>
          <w:lang w:val="en-US"/>
        </w:rPr>
        <w:t>30</w:t>
      </w:r>
      <w:r w:rsidRPr="00CC5505">
        <w:rPr>
          <w:rFonts w:ascii="Book Antiqua" w:hAnsi="Book Antiqua"/>
          <w:noProof/>
          <w:sz w:val="26"/>
          <w:lang w:val="en-US"/>
        </w:rPr>
        <w:t>(1), 43–57.</w:t>
      </w:r>
    </w:p>
    <w:p w14:paraId="3C721195" w14:textId="216DFBB5" w:rsidR="00877B1B" w:rsidRPr="00CC5505" w:rsidRDefault="00877B1B" w:rsidP="00CC5505">
      <w:pPr>
        <w:widowControl w:val="0"/>
        <w:autoSpaceDE w:val="0"/>
        <w:autoSpaceDN w:val="0"/>
        <w:adjustRightInd w:val="0"/>
        <w:ind w:left="480" w:hanging="480"/>
        <w:jc w:val="both"/>
        <w:rPr>
          <w:rFonts w:ascii="Book Antiqua" w:hAnsi="Book Antiqua"/>
          <w:noProof/>
          <w:sz w:val="26"/>
          <w:lang w:val="en-US"/>
        </w:rPr>
      </w:pPr>
      <w:bookmarkStart w:id="16" w:name="Peters"/>
      <w:r w:rsidRPr="00CC5505">
        <w:rPr>
          <w:rFonts w:ascii="Book Antiqua" w:hAnsi="Book Antiqua"/>
          <w:noProof/>
          <w:sz w:val="26"/>
          <w:lang w:val="en-US"/>
        </w:rPr>
        <w:t>Peters</w:t>
      </w:r>
      <w:bookmarkEnd w:id="16"/>
      <w:r w:rsidRPr="00CC5505">
        <w:rPr>
          <w:rFonts w:ascii="Book Antiqua" w:hAnsi="Book Antiqua"/>
          <w:noProof/>
          <w:sz w:val="26"/>
          <w:lang w:val="en-US"/>
        </w:rPr>
        <w:t xml:space="preserve">, A.-K., Capilla, R., Coroamă, V. C., Heldal, R., Lago, P., Leifler, O., Moreira, A., Fernandes, J. P., Penzenstadler, B., Porras, J., &amp; Venters, C. C. (2024). Sustainability in Computing Education: A Systematic Literature Review. </w:t>
      </w:r>
      <w:r w:rsidRPr="00CC5505">
        <w:rPr>
          <w:rFonts w:ascii="Book Antiqua" w:hAnsi="Book Antiqua"/>
          <w:i/>
          <w:iCs/>
          <w:noProof/>
          <w:sz w:val="26"/>
          <w:lang w:val="en-US"/>
        </w:rPr>
        <w:t>ACM Transactions on Computing Education</w:t>
      </w:r>
      <w:r w:rsidRPr="00CC5505">
        <w:rPr>
          <w:rFonts w:ascii="Book Antiqua" w:hAnsi="Book Antiqua"/>
          <w:noProof/>
          <w:sz w:val="26"/>
          <w:lang w:val="en-US"/>
        </w:rPr>
        <w:t xml:space="preserve">, </w:t>
      </w:r>
      <w:r w:rsidRPr="00CC5505">
        <w:rPr>
          <w:rFonts w:ascii="Book Antiqua" w:hAnsi="Book Antiqua"/>
          <w:i/>
          <w:iCs/>
          <w:noProof/>
          <w:sz w:val="26"/>
          <w:lang w:val="en-US"/>
        </w:rPr>
        <w:t>24</w:t>
      </w:r>
      <w:r w:rsidRPr="00CC5505">
        <w:rPr>
          <w:rFonts w:ascii="Book Antiqua" w:hAnsi="Book Antiqua"/>
          <w:noProof/>
          <w:sz w:val="26"/>
          <w:lang w:val="en-US"/>
        </w:rPr>
        <w:t xml:space="preserve">(1). </w:t>
      </w:r>
      <w:hyperlink r:id="rId27" w:history="1">
        <w:r w:rsidRPr="00CC5505">
          <w:rPr>
            <w:rStyle w:val="Hyperlink"/>
            <w:rFonts w:ascii="Book Antiqua" w:hAnsi="Book Antiqua"/>
            <w:noProof/>
            <w:sz w:val="26"/>
            <w:u w:val="none"/>
            <w:lang w:val="en-US"/>
          </w:rPr>
          <w:t>https://doi.org/10.1145/3639060</w:t>
        </w:r>
      </w:hyperlink>
    </w:p>
    <w:p w14:paraId="7F195A84" w14:textId="0F92E197" w:rsidR="00877B1B" w:rsidRPr="00CC5505" w:rsidRDefault="00877B1B" w:rsidP="00CC5505">
      <w:pPr>
        <w:widowControl w:val="0"/>
        <w:autoSpaceDE w:val="0"/>
        <w:autoSpaceDN w:val="0"/>
        <w:adjustRightInd w:val="0"/>
        <w:ind w:left="480" w:hanging="480"/>
        <w:jc w:val="both"/>
        <w:rPr>
          <w:rFonts w:ascii="Book Antiqua" w:hAnsi="Book Antiqua"/>
          <w:noProof/>
          <w:sz w:val="26"/>
          <w:lang w:val="en-US"/>
        </w:rPr>
      </w:pPr>
      <w:bookmarkStart w:id="17" w:name="R"/>
      <w:r w:rsidRPr="00CC5505">
        <w:rPr>
          <w:rFonts w:ascii="Book Antiqua" w:hAnsi="Book Antiqua"/>
          <w:noProof/>
          <w:sz w:val="26"/>
          <w:lang w:val="en-US"/>
        </w:rPr>
        <w:t>R</w:t>
      </w:r>
      <w:bookmarkEnd w:id="17"/>
      <w:r w:rsidRPr="00CC5505">
        <w:rPr>
          <w:rFonts w:ascii="Book Antiqua" w:hAnsi="Book Antiqua"/>
          <w:noProof/>
          <w:sz w:val="26"/>
          <w:lang w:val="en-US"/>
        </w:rPr>
        <w:t xml:space="preserve">., C.-G., J., C.-O., J.G.G., M., M.N., T., F.H.S., M., M.C., O., &amp; A.M., Z. E. (Eds.). (2024). 1st International Conference on Sustainability in Creative Industries, SCI 2022. </w:t>
      </w:r>
      <w:r w:rsidRPr="00CC5505">
        <w:rPr>
          <w:rFonts w:ascii="Book Antiqua" w:hAnsi="Book Antiqua"/>
          <w:i/>
          <w:iCs/>
          <w:noProof/>
          <w:sz w:val="26"/>
          <w:lang w:val="en-US"/>
        </w:rPr>
        <w:t>Advances in Science, Technology and Innovation</w:t>
      </w:r>
      <w:r w:rsidRPr="00CC5505">
        <w:rPr>
          <w:rFonts w:ascii="Book Antiqua" w:hAnsi="Book Antiqua"/>
          <w:noProof/>
          <w:sz w:val="26"/>
          <w:lang w:val="en-US"/>
        </w:rPr>
        <w:t xml:space="preserve">. </w:t>
      </w:r>
      <w:hyperlink r:id="rId28" w:history="1">
        <w:r w:rsidRPr="00CC5505">
          <w:rPr>
            <w:rStyle w:val="Hyperlink"/>
            <w:rFonts w:ascii="Book Antiqua" w:hAnsi="Book Antiqua"/>
            <w:noProof/>
            <w:sz w:val="26"/>
            <w:u w:val="none"/>
            <w:lang w:val="en-US"/>
          </w:rPr>
          <w:t>https://www.scopus.com/inward/record.uri?eid=2-s2.0-85195298549&amp;partnerID=40&amp;md5=c042cf402527c45211932183049c7a48</w:t>
        </w:r>
      </w:hyperlink>
    </w:p>
    <w:p w14:paraId="0AB26E8C" w14:textId="4B3EE391" w:rsidR="00877B1B" w:rsidRPr="00CC5505" w:rsidRDefault="00877B1B" w:rsidP="00CC5505">
      <w:pPr>
        <w:widowControl w:val="0"/>
        <w:autoSpaceDE w:val="0"/>
        <w:autoSpaceDN w:val="0"/>
        <w:adjustRightInd w:val="0"/>
        <w:ind w:left="480" w:hanging="480"/>
        <w:jc w:val="both"/>
        <w:rPr>
          <w:rFonts w:ascii="Book Antiqua" w:hAnsi="Book Antiqua"/>
          <w:noProof/>
          <w:sz w:val="26"/>
          <w:lang w:val="en-US"/>
        </w:rPr>
      </w:pPr>
      <w:bookmarkStart w:id="18" w:name="Smith"/>
      <w:r w:rsidRPr="00CC5505">
        <w:rPr>
          <w:rFonts w:ascii="Book Antiqua" w:hAnsi="Book Antiqua"/>
          <w:noProof/>
          <w:sz w:val="26"/>
          <w:lang w:val="en-US"/>
        </w:rPr>
        <w:t>Smith</w:t>
      </w:r>
      <w:bookmarkEnd w:id="18"/>
      <w:r w:rsidRPr="00CC5505">
        <w:rPr>
          <w:rFonts w:ascii="Book Antiqua" w:hAnsi="Book Antiqua"/>
          <w:noProof/>
          <w:sz w:val="26"/>
          <w:lang w:val="en-US"/>
        </w:rPr>
        <w:t xml:space="preserve">, P. A. C. (2011). Elements of Organizational Sustainability. </w:t>
      </w:r>
      <w:r w:rsidRPr="00CC5505">
        <w:rPr>
          <w:rFonts w:ascii="Book Antiqua" w:hAnsi="Book Antiqua"/>
          <w:i/>
          <w:iCs/>
          <w:noProof/>
          <w:sz w:val="26"/>
          <w:lang w:val="en-US"/>
        </w:rPr>
        <w:t>The Learning Organization</w:t>
      </w:r>
      <w:r w:rsidRPr="00CC5505">
        <w:rPr>
          <w:rFonts w:ascii="Book Antiqua" w:hAnsi="Book Antiqua"/>
          <w:noProof/>
          <w:sz w:val="26"/>
          <w:lang w:val="en-US"/>
        </w:rPr>
        <w:t xml:space="preserve">, </w:t>
      </w:r>
      <w:r w:rsidRPr="00CC5505">
        <w:rPr>
          <w:rFonts w:ascii="Book Antiqua" w:hAnsi="Book Antiqua"/>
          <w:i/>
          <w:iCs/>
          <w:noProof/>
          <w:sz w:val="26"/>
          <w:lang w:val="en-US"/>
        </w:rPr>
        <w:t>18</w:t>
      </w:r>
      <w:r w:rsidRPr="00CC5505">
        <w:rPr>
          <w:rFonts w:ascii="Book Antiqua" w:hAnsi="Book Antiqua"/>
          <w:noProof/>
          <w:sz w:val="26"/>
          <w:lang w:val="en-US"/>
        </w:rPr>
        <w:t xml:space="preserve">(1), 5–9. </w:t>
      </w:r>
      <w:hyperlink r:id="rId29" w:history="1">
        <w:r w:rsidRPr="00CC5505">
          <w:rPr>
            <w:rStyle w:val="Hyperlink"/>
            <w:rFonts w:ascii="Book Antiqua" w:hAnsi="Book Antiqua"/>
            <w:noProof/>
            <w:sz w:val="26"/>
            <w:u w:val="none"/>
            <w:lang w:val="en-US"/>
          </w:rPr>
          <w:t>https://doi.org/10.1108/09696471111095957</w:t>
        </w:r>
      </w:hyperlink>
    </w:p>
    <w:p w14:paraId="7A47963F" w14:textId="2E21DE53" w:rsidR="00877B1B" w:rsidRPr="00CC5505" w:rsidRDefault="00877B1B" w:rsidP="00CC5505">
      <w:pPr>
        <w:widowControl w:val="0"/>
        <w:autoSpaceDE w:val="0"/>
        <w:autoSpaceDN w:val="0"/>
        <w:adjustRightInd w:val="0"/>
        <w:ind w:left="480" w:hanging="480"/>
        <w:jc w:val="both"/>
        <w:rPr>
          <w:rFonts w:ascii="Book Antiqua" w:hAnsi="Book Antiqua"/>
          <w:noProof/>
          <w:sz w:val="26"/>
          <w:lang w:val="en-US"/>
        </w:rPr>
      </w:pPr>
      <w:bookmarkStart w:id="19" w:name="Sudarsono"/>
      <w:r w:rsidRPr="00CC5505">
        <w:rPr>
          <w:rFonts w:ascii="Book Antiqua" w:hAnsi="Book Antiqua"/>
          <w:noProof/>
          <w:sz w:val="26"/>
          <w:lang w:val="en-US"/>
        </w:rPr>
        <w:t>Sudarsono</w:t>
      </w:r>
      <w:bookmarkEnd w:id="19"/>
      <w:r w:rsidRPr="00CC5505">
        <w:rPr>
          <w:rFonts w:ascii="Book Antiqua" w:hAnsi="Book Antiqua"/>
          <w:noProof/>
          <w:sz w:val="26"/>
          <w:lang w:val="en-US"/>
        </w:rPr>
        <w:t xml:space="preserve">, S., &amp; Muaddin, A. (2024). Green Pesantren Leadership: Shaping a Moderate Society for Environmental Conservation. </w:t>
      </w:r>
      <w:r w:rsidRPr="00CC5505">
        <w:rPr>
          <w:rFonts w:ascii="Book Antiqua" w:hAnsi="Book Antiqua"/>
          <w:i/>
          <w:iCs/>
          <w:noProof/>
          <w:sz w:val="26"/>
          <w:lang w:val="en-US"/>
        </w:rPr>
        <w:t>Idarah (Jurnal Pendidikan Dan Kependidikan)</w:t>
      </w:r>
      <w:r w:rsidRPr="00CC5505">
        <w:rPr>
          <w:rFonts w:ascii="Book Antiqua" w:hAnsi="Book Antiqua"/>
          <w:noProof/>
          <w:sz w:val="26"/>
          <w:lang w:val="en-US"/>
        </w:rPr>
        <w:t xml:space="preserve">, </w:t>
      </w:r>
      <w:r w:rsidRPr="00CC5505">
        <w:rPr>
          <w:rFonts w:ascii="Book Antiqua" w:hAnsi="Book Antiqua"/>
          <w:i/>
          <w:iCs/>
          <w:noProof/>
          <w:sz w:val="26"/>
          <w:lang w:val="en-US"/>
        </w:rPr>
        <w:t>8</w:t>
      </w:r>
      <w:r w:rsidRPr="00CC5505">
        <w:rPr>
          <w:rFonts w:ascii="Book Antiqua" w:hAnsi="Book Antiqua"/>
          <w:noProof/>
          <w:sz w:val="26"/>
          <w:lang w:val="en-US"/>
        </w:rPr>
        <w:t xml:space="preserve">(1), 1–12. </w:t>
      </w:r>
      <w:hyperlink r:id="rId30" w:history="1">
        <w:r w:rsidRPr="00CC5505">
          <w:rPr>
            <w:rStyle w:val="Hyperlink"/>
            <w:rFonts w:ascii="Book Antiqua" w:hAnsi="Book Antiqua"/>
            <w:noProof/>
            <w:sz w:val="26"/>
            <w:u w:val="none"/>
            <w:lang w:val="en-US"/>
          </w:rPr>
          <w:t>https://doi.org/10.47766/idarah.v8i1.1381</w:t>
        </w:r>
      </w:hyperlink>
    </w:p>
    <w:p w14:paraId="275BE13B" w14:textId="6ACC9C72" w:rsidR="00877B1B" w:rsidRPr="00CC5505" w:rsidRDefault="00877B1B" w:rsidP="00CC5505">
      <w:pPr>
        <w:widowControl w:val="0"/>
        <w:autoSpaceDE w:val="0"/>
        <w:autoSpaceDN w:val="0"/>
        <w:adjustRightInd w:val="0"/>
        <w:ind w:left="480" w:hanging="480"/>
        <w:jc w:val="both"/>
        <w:rPr>
          <w:rFonts w:ascii="Book Antiqua" w:hAnsi="Book Antiqua"/>
          <w:noProof/>
          <w:sz w:val="26"/>
          <w:lang w:val="en-US"/>
        </w:rPr>
      </w:pPr>
      <w:bookmarkStart w:id="20" w:name="Yang"/>
      <w:r w:rsidRPr="00CC5505">
        <w:rPr>
          <w:rFonts w:ascii="Book Antiqua" w:hAnsi="Book Antiqua"/>
          <w:noProof/>
          <w:sz w:val="26"/>
          <w:lang w:val="en-US"/>
        </w:rPr>
        <w:t>Yang</w:t>
      </w:r>
      <w:bookmarkEnd w:id="20"/>
      <w:r w:rsidRPr="00CC5505">
        <w:rPr>
          <w:rFonts w:ascii="Book Antiqua" w:hAnsi="Book Antiqua"/>
          <w:noProof/>
          <w:sz w:val="26"/>
          <w:lang w:val="en-US"/>
        </w:rPr>
        <w:t xml:space="preserve">, C.-H., Chuang, M.-C., &amp; Chen, D.-F. (2024). Role of Higher Education Students’ Environmental Awareness and Environmental Concern in the Purchase Intention of Circular Economy Products. </w:t>
      </w:r>
      <w:r w:rsidRPr="00CC5505">
        <w:rPr>
          <w:rFonts w:ascii="Book Antiqua" w:hAnsi="Book Antiqua"/>
          <w:i/>
          <w:iCs/>
          <w:noProof/>
          <w:sz w:val="26"/>
          <w:lang w:val="en-US"/>
        </w:rPr>
        <w:t xml:space="preserve">Sustainability (Switzerland) </w:t>
      </w:r>
      <w:r w:rsidRPr="00CC5505">
        <w:rPr>
          <w:rFonts w:ascii="Book Antiqua" w:hAnsi="Book Antiqua"/>
          <w:noProof/>
          <w:sz w:val="26"/>
          <w:lang w:val="en-US"/>
        </w:rPr>
        <w:t xml:space="preserve">, </w:t>
      </w:r>
      <w:r w:rsidRPr="00CC5505">
        <w:rPr>
          <w:rFonts w:ascii="Book Antiqua" w:hAnsi="Book Antiqua"/>
          <w:i/>
          <w:iCs/>
          <w:noProof/>
          <w:sz w:val="26"/>
          <w:lang w:val="en-US"/>
        </w:rPr>
        <w:t>16</w:t>
      </w:r>
      <w:r w:rsidRPr="00CC5505">
        <w:rPr>
          <w:rFonts w:ascii="Book Antiqua" w:hAnsi="Book Antiqua"/>
          <w:noProof/>
          <w:sz w:val="26"/>
          <w:lang w:val="en-US"/>
        </w:rPr>
        <w:t xml:space="preserve">(5). </w:t>
      </w:r>
      <w:hyperlink r:id="rId31" w:history="1">
        <w:r w:rsidRPr="00CC5505">
          <w:rPr>
            <w:rStyle w:val="Hyperlink"/>
            <w:rFonts w:ascii="Book Antiqua" w:hAnsi="Book Antiqua"/>
            <w:noProof/>
            <w:sz w:val="26"/>
            <w:u w:val="none"/>
            <w:lang w:val="en-US"/>
          </w:rPr>
          <w:t>https://doi.org/10.3390/su16051979</w:t>
        </w:r>
      </w:hyperlink>
    </w:p>
    <w:p w14:paraId="0ADC4EF5" w14:textId="5218CC27" w:rsidR="00877B1B" w:rsidRPr="00CC5505" w:rsidRDefault="00877B1B" w:rsidP="00CC5505">
      <w:pPr>
        <w:widowControl w:val="0"/>
        <w:autoSpaceDE w:val="0"/>
        <w:autoSpaceDN w:val="0"/>
        <w:adjustRightInd w:val="0"/>
        <w:ind w:left="480" w:hanging="480"/>
        <w:jc w:val="both"/>
        <w:rPr>
          <w:rFonts w:ascii="Book Antiqua" w:hAnsi="Book Antiqua"/>
          <w:noProof/>
          <w:sz w:val="26"/>
        </w:rPr>
      </w:pPr>
      <w:bookmarkStart w:id="21" w:name="Zuraida"/>
      <w:r w:rsidRPr="00CC5505">
        <w:rPr>
          <w:rFonts w:ascii="Book Antiqua" w:hAnsi="Book Antiqua"/>
          <w:noProof/>
          <w:sz w:val="26"/>
          <w:lang w:val="en-US"/>
        </w:rPr>
        <w:t>Zuraida</w:t>
      </w:r>
      <w:bookmarkEnd w:id="21"/>
      <w:r w:rsidRPr="00CC5505">
        <w:rPr>
          <w:rFonts w:ascii="Book Antiqua" w:hAnsi="Book Antiqua"/>
          <w:noProof/>
          <w:sz w:val="26"/>
          <w:lang w:val="en-US"/>
        </w:rPr>
        <w:t xml:space="preserve">, Z., &amp; Musnadi, S. (2023). Board Diversity and Sustainability: Indonesian Evidence. In </w:t>
      </w:r>
      <w:r w:rsidRPr="00CC5505">
        <w:rPr>
          <w:rFonts w:ascii="Book Antiqua" w:hAnsi="Book Antiqua"/>
          <w:i/>
          <w:iCs/>
          <w:noProof/>
          <w:sz w:val="26"/>
          <w:lang w:val="en-US"/>
        </w:rPr>
        <w:t>Eurasian Studies in Business and Economics</w:t>
      </w:r>
      <w:r w:rsidRPr="00CC5505">
        <w:rPr>
          <w:rFonts w:ascii="Book Antiqua" w:hAnsi="Book Antiqua"/>
          <w:noProof/>
          <w:sz w:val="26"/>
          <w:lang w:val="en-US"/>
        </w:rPr>
        <w:t xml:space="preserve"> (Vol. 25, pp. 3–21). Springer Science and Business Media B.V. </w:t>
      </w:r>
      <w:hyperlink r:id="rId32" w:history="1">
        <w:r w:rsidRPr="00CC5505">
          <w:rPr>
            <w:rStyle w:val="Hyperlink"/>
            <w:rFonts w:ascii="Book Antiqua" w:hAnsi="Book Antiqua"/>
            <w:noProof/>
            <w:sz w:val="26"/>
            <w:u w:val="none"/>
            <w:lang w:val="en-US"/>
          </w:rPr>
          <w:t>https://doi.org/10.1007/978-3-031-36286-6_1</w:t>
        </w:r>
      </w:hyperlink>
    </w:p>
    <w:p w14:paraId="3071A907" w14:textId="40CDBB29" w:rsidR="00F4171F" w:rsidRPr="00CC5505" w:rsidRDefault="00071DF7" w:rsidP="00CC5505">
      <w:pPr>
        <w:widowControl w:val="0"/>
        <w:autoSpaceDE w:val="0"/>
        <w:autoSpaceDN w:val="0"/>
        <w:adjustRightInd w:val="0"/>
        <w:ind w:left="480" w:hanging="480"/>
        <w:jc w:val="both"/>
        <w:rPr>
          <w:rFonts w:ascii="Book Antiqua" w:eastAsia="Book Antiqua" w:hAnsi="Book Antiqua" w:cs="Book Antiqua"/>
          <w:sz w:val="26"/>
          <w:szCs w:val="26"/>
          <w:lang w:val="en-US"/>
        </w:rPr>
      </w:pPr>
      <w:r w:rsidRPr="00CC5505">
        <w:rPr>
          <w:rFonts w:ascii="Book Antiqua" w:eastAsia="Book Antiqua" w:hAnsi="Book Antiqua" w:cs="Book Antiqua"/>
          <w:sz w:val="26"/>
          <w:szCs w:val="26"/>
          <w:lang w:val="en-US"/>
        </w:rPr>
        <w:fldChar w:fldCharType="end"/>
      </w:r>
    </w:p>
    <w:sectPr w:rsidR="00F4171F" w:rsidRPr="00CC5505" w:rsidSect="000F7BB2">
      <w:headerReference w:type="even" r:id="rId33"/>
      <w:headerReference w:type="default" r:id="rId34"/>
      <w:footerReference w:type="even" r:id="rId35"/>
      <w:headerReference w:type="first" r:id="rId36"/>
      <w:footerReference w:type="first" r:id="rId37"/>
      <w:pgSz w:w="11901" w:h="16817"/>
      <w:pgMar w:top="1418" w:right="1418" w:bottom="1701" w:left="1418" w:header="709" w:footer="709" w:gutter="0"/>
      <w:pgNumType w:start="14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13E49" w14:textId="77777777" w:rsidR="00F33FC3" w:rsidRDefault="00F33FC3" w:rsidP="00276F40">
      <w:r>
        <w:separator/>
      </w:r>
    </w:p>
  </w:endnote>
  <w:endnote w:type="continuationSeparator" w:id="0">
    <w:p w14:paraId="08D00F91" w14:textId="77777777" w:rsidR="00F33FC3" w:rsidRDefault="00F33FC3" w:rsidP="0027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0B89" w14:textId="77777777" w:rsidR="00684090" w:rsidRDefault="00684090">
    <w:pPr>
      <w:pStyle w:val="Normal1"/>
      <w:pBdr>
        <w:top w:val="nil"/>
        <w:left w:val="nil"/>
        <w:bottom w:val="nil"/>
        <w:right w:val="nil"/>
        <w:between w:val="nil"/>
      </w:pBdr>
      <w:tabs>
        <w:tab w:val="right" w:pos="9360"/>
      </w:tabs>
      <w:rPr>
        <w:i/>
        <w:color w:val="000000"/>
        <w:sz w:val="20"/>
        <w:szCs w:val="20"/>
      </w:rPr>
    </w:pPr>
  </w:p>
  <w:p w14:paraId="71E3A369" w14:textId="77777777" w:rsidR="00684090" w:rsidRDefault="00684090">
    <w:pPr>
      <w:pStyle w:val="Normal1"/>
      <w:pBdr>
        <w:top w:val="nil"/>
        <w:left w:val="nil"/>
        <w:bottom w:val="nil"/>
        <w:right w:val="nil"/>
        <w:between w:val="nil"/>
      </w:pBdr>
      <w:tabs>
        <w:tab w:val="right" w:pos="9360"/>
      </w:tabs>
      <w:rPr>
        <w:i/>
        <w:color w:val="000000"/>
        <w:sz w:val="20"/>
        <w:szCs w:val="20"/>
      </w:rPr>
    </w:pPr>
  </w:p>
  <w:p w14:paraId="517BA3F5" w14:textId="77777777" w:rsidR="00684090" w:rsidRDefault="00684090">
    <w:pPr>
      <w:pStyle w:val="Normal1"/>
      <w:pBdr>
        <w:top w:val="nil"/>
        <w:left w:val="nil"/>
        <w:bottom w:val="nil"/>
        <w:right w:val="nil"/>
        <w:between w:val="nil"/>
      </w:pBdr>
      <w:tabs>
        <w:tab w:val="right" w:pos="9360"/>
      </w:tabs>
      <w:rPr>
        <w:i/>
        <w:color w:val="000000"/>
        <w:sz w:val="20"/>
        <w:szCs w:val="20"/>
      </w:rPr>
    </w:pPr>
  </w:p>
  <w:p w14:paraId="3186DD35" w14:textId="23B856B8" w:rsidR="00276F40" w:rsidRDefault="003C70B3">
    <w:pPr>
      <w:pStyle w:val="Normal1"/>
      <w:pBdr>
        <w:top w:val="nil"/>
        <w:left w:val="nil"/>
        <w:bottom w:val="nil"/>
        <w:right w:val="nil"/>
        <w:between w:val="nil"/>
      </w:pBdr>
      <w:tabs>
        <w:tab w:val="right" w:pos="9360"/>
      </w:tabs>
      <w:rPr>
        <w:color w:val="000000"/>
        <w:sz w:val="20"/>
        <w:szCs w:val="20"/>
      </w:rPr>
    </w:pPr>
    <w:r>
      <w:rPr>
        <w:i/>
        <w:color w:val="000000"/>
        <w:sz w:val="20"/>
        <w:szCs w:val="20"/>
      </w:rPr>
      <w:t>Copyright © Development</w:t>
    </w:r>
    <w:r w:rsidR="004E3F55">
      <w:rPr>
        <w:i/>
        <w:color w:val="000000"/>
        <w:sz w:val="20"/>
        <w:szCs w:val="20"/>
      </w:rPr>
      <w:t xml:space="preserve"> 202</w:t>
    </w:r>
    <w:r w:rsidR="00B35100">
      <w:rPr>
        <w:i/>
        <w:color w:val="000000"/>
        <w:sz w:val="20"/>
        <w:szCs w:val="20"/>
      </w:rPr>
      <w:t>4</w:t>
    </w:r>
    <w:r>
      <w:rPr>
        <w:i/>
        <w:color w:val="000000"/>
        <w:sz w:val="20"/>
        <w:szCs w:val="20"/>
      </w:rPr>
      <w:tab/>
    </w:r>
  </w:p>
  <w:p w14:paraId="1DE10735" w14:textId="77777777" w:rsidR="00276F40" w:rsidRDefault="00276F40">
    <w:pPr>
      <w:pStyle w:val="Normal1"/>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0CEC" w14:textId="77777777" w:rsidR="00276F40" w:rsidRDefault="001D0E06">
    <w:pPr>
      <w:pStyle w:val="Normal1"/>
      <w:pBdr>
        <w:top w:val="nil"/>
        <w:left w:val="nil"/>
        <w:bottom w:val="nil"/>
        <w:right w:val="nil"/>
        <w:between w:val="nil"/>
      </w:pBdr>
      <w:tabs>
        <w:tab w:val="center" w:pos="4680"/>
        <w:tab w:val="right" w:pos="9360"/>
      </w:tabs>
      <w:jc w:val="center"/>
      <w:rPr>
        <w:color w:val="000000"/>
      </w:rPr>
    </w:pPr>
    <w:r>
      <w:rPr>
        <w:color w:val="000000"/>
      </w:rPr>
      <w:fldChar w:fldCharType="begin"/>
    </w:r>
    <w:r w:rsidR="003C70B3">
      <w:rPr>
        <w:color w:val="000000"/>
      </w:rPr>
      <w:instrText>PAGE</w:instrText>
    </w:r>
    <w:r>
      <w:rPr>
        <w:color w:val="000000"/>
      </w:rPr>
      <w:fldChar w:fldCharType="separate"/>
    </w:r>
    <w:r w:rsidR="001C47F0">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23D20" w14:textId="77777777" w:rsidR="00F33FC3" w:rsidRDefault="00F33FC3" w:rsidP="00276F40">
      <w:r>
        <w:separator/>
      </w:r>
    </w:p>
  </w:footnote>
  <w:footnote w:type="continuationSeparator" w:id="0">
    <w:p w14:paraId="387378F9" w14:textId="77777777" w:rsidR="00F33FC3" w:rsidRDefault="00F33FC3" w:rsidP="00276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D6EE" w14:textId="28CD967C" w:rsidR="00276F40" w:rsidRPr="00B121D5" w:rsidRDefault="001D0E06" w:rsidP="00811040">
    <w:pPr>
      <w:pStyle w:val="Normal1"/>
      <w:pBdr>
        <w:top w:val="nil"/>
        <w:left w:val="nil"/>
        <w:bottom w:val="nil"/>
        <w:right w:val="nil"/>
        <w:between w:val="nil"/>
      </w:pBdr>
      <w:tabs>
        <w:tab w:val="center" w:pos="4253"/>
        <w:tab w:val="right" w:pos="8499"/>
        <w:tab w:val="right" w:pos="9065"/>
      </w:tabs>
      <w:ind w:left="2410" w:hanging="2410"/>
      <w:jc w:val="right"/>
      <w:rPr>
        <w:rFonts w:ascii="Cambria" w:hAnsi="Cambria"/>
        <w:color w:val="000000"/>
        <w:sz w:val="22"/>
        <w:szCs w:val="22"/>
      </w:rPr>
    </w:pPr>
    <w:r w:rsidRPr="00B121D5">
      <w:rPr>
        <w:rFonts w:ascii="Cambria" w:hAnsi="Cambria"/>
        <w:color w:val="000000"/>
      </w:rPr>
      <w:fldChar w:fldCharType="begin"/>
    </w:r>
    <w:r w:rsidR="003C70B3" w:rsidRPr="00B121D5">
      <w:rPr>
        <w:rFonts w:ascii="Cambria" w:hAnsi="Cambria"/>
        <w:color w:val="000000"/>
      </w:rPr>
      <w:instrText>PAGE</w:instrText>
    </w:r>
    <w:r w:rsidRPr="00B121D5">
      <w:rPr>
        <w:rFonts w:ascii="Cambria" w:hAnsi="Cambria"/>
        <w:color w:val="000000"/>
      </w:rPr>
      <w:fldChar w:fldCharType="separate"/>
    </w:r>
    <w:r w:rsidR="001C47F0" w:rsidRPr="00B121D5">
      <w:rPr>
        <w:rFonts w:ascii="Cambria" w:hAnsi="Cambria"/>
        <w:noProof/>
        <w:color w:val="000000"/>
      </w:rPr>
      <w:t>10</w:t>
    </w:r>
    <w:r w:rsidRPr="00B121D5">
      <w:rPr>
        <w:rFonts w:ascii="Cambria" w:hAnsi="Cambria"/>
        <w:color w:val="000000"/>
      </w:rPr>
      <w:fldChar w:fldCharType="end"/>
    </w:r>
    <w:r w:rsidR="003C70B3" w:rsidRPr="00B121D5">
      <w:rPr>
        <w:rFonts w:ascii="Cambria" w:hAnsi="Cambria"/>
        <w:color w:val="000000"/>
        <w:sz w:val="22"/>
        <w:szCs w:val="22"/>
      </w:rPr>
      <w:tab/>
    </w:r>
    <w:r w:rsidR="00811040" w:rsidRPr="00B121D5">
      <w:rPr>
        <w:rFonts w:ascii="Cambria" w:hAnsi="Cambria"/>
        <w:color w:val="000000"/>
        <w:sz w:val="22"/>
        <w:szCs w:val="22"/>
      </w:rPr>
      <w:t xml:space="preserve">                  </w:t>
    </w:r>
    <w:r w:rsidR="003C70B3" w:rsidRPr="00B121D5">
      <w:rPr>
        <w:rFonts w:ascii="Cambria" w:hAnsi="Cambria"/>
        <w:color w:val="000000"/>
        <w:sz w:val="22"/>
        <w:szCs w:val="22"/>
      </w:rPr>
      <w:t xml:space="preserve">               </w:t>
    </w:r>
    <w:r w:rsidR="003C70B3" w:rsidRPr="00B121D5">
      <w:rPr>
        <w:rFonts w:ascii="Cambria" w:hAnsi="Cambria"/>
        <w:color w:val="000000"/>
        <w:sz w:val="22"/>
        <w:szCs w:val="22"/>
      </w:rPr>
      <w:tab/>
    </w:r>
    <w:r w:rsidR="000327CE">
      <w:rPr>
        <w:rFonts w:ascii="Cambria" w:hAnsi="Cambria"/>
        <w:color w:val="000000"/>
        <w:sz w:val="22"/>
        <w:szCs w:val="22"/>
      </w:rPr>
      <w:t xml:space="preserve">     </w:t>
    </w:r>
    <w:r w:rsidR="003C70B3" w:rsidRPr="00B121D5">
      <w:rPr>
        <w:rFonts w:ascii="Cambria" w:hAnsi="Cambria"/>
        <w:i/>
        <w:color w:val="000000"/>
        <w:sz w:val="22"/>
        <w:szCs w:val="22"/>
      </w:rPr>
      <w:t>Studies in Educational Management and Leadership</w:t>
    </w:r>
    <w:r w:rsidR="003C70B3" w:rsidRPr="00B121D5">
      <w:rPr>
        <w:rFonts w:ascii="Cambria" w:hAnsi="Cambria"/>
        <w:color w:val="000000"/>
        <w:sz w:val="22"/>
        <w:szCs w:val="22"/>
        <w:highlight w:val="yellow"/>
      </w:rPr>
      <w:br/>
    </w:r>
    <w:r w:rsidR="00811040" w:rsidRPr="00B121D5">
      <w:rPr>
        <w:rFonts w:ascii="Cambria" w:hAnsi="Cambria"/>
        <w:color w:val="000000"/>
        <w:sz w:val="22"/>
        <w:szCs w:val="22"/>
      </w:rPr>
      <w:t xml:space="preserve">    </w:t>
    </w:r>
    <w:r w:rsidR="003C70B3" w:rsidRPr="00B121D5">
      <w:rPr>
        <w:rFonts w:ascii="Cambria" w:hAnsi="Cambria"/>
        <w:color w:val="000000"/>
        <w:sz w:val="22"/>
        <w:szCs w:val="22"/>
      </w:rPr>
      <w:t xml:space="preserve">Vol. </w:t>
    </w:r>
    <w:r w:rsidR="00B35100">
      <w:rPr>
        <w:rFonts w:ascii="Cambria" w:hAnsi="Cambria"/>
        <w:color w:val="000000"/>
        <w:sz w:val="22"/>
        <w:szCs w:val="22"/>
      </w:rPr>
      <w:t>3</w:t>
    </w:r>
    <w:r w:rsidR="003C70B3" w:rsidRPr="00B121D5">
      <w:rPr>
        <w:rFonts w:ascii="Cambria" w:hAnsi="Cambria"/>
        <w:color w:val="000000"/>
        <w:sz w:val="22"/>
        <w:szCs w:val="22"/>
      </w:rPr>
      <w:t xml:space="preserve"> No. </w:t>
    </w:r>
    <w:r w:rsidR="00E41129">
      <w:rPr>
        <w:rFonts w:ascii="Cambria" w:hAnsi="Cambria"/>
        <w:color w:val="000000"/>
        <w:sz w:val="22"/>
        <w:szCs w:val="22"/>
      </w:rPr>
      <w:t>2</w:t>
    </w:r>
    <w:r w:rsidR="003C70B3" w:rsidRPr="00B121D5">
      <w:rPr>
        <w:rFonts w:ascii="Cambria" w:hAnsi="Cambria"/>
        <w:color w:val="000000"/>
        <w:sz w:val="22"/>
        <w:szCs w:val="22"/>
      </w:rPr>
      <w:t xml:space="preserve"> (202</w:t>
    </w:r>
    <w:r w:rsidR="00B35100">
      <w:rPr>
        <w:rFonts w:ascii="Cambria" w:hAnsi="Cambria"/>
        <w:color w:val="000000"/>
        <w:sz w:val="22"/>
        <w:szCs w:val="22"/>
      </w:rPr>
      <w:t>4</w:t>
    </w:r>
    <w:r w:rsidR="003C70B3" w:rsidRPr="00B121D5">
      <w:rPr>
        <w:rFonts w:ascii="Cambria" w:hAnsi="Cambria"/>
        <w:color w:val="000000"/>
        <w:sz w:val="22"/>
        <w:szCs w:val="22"/>
      </w:rPr>
      <w:t>)</w:t>
    </w:r>
    <w:r w:rsidR="00343288">
      <w:rPr>
        <w:rFonts w:ascii="Cambria" w:hAnsi="Cambria"/>
        <w:color w:val="000000"/>
        <w:sz w:val="22"/>
        <w:szCs w:val="22"/>
      </w:rPr>
      <w:t xml:space="preserve"> | p. </w:t>
    </w:r>
    <w:r w:rsidR="000F7BB2">
      <w:rPr>
        <w:rFonts w:ascii="Cambria" w:hAnsi="Cambria"/>
        <w:color w:val="000000"/>
        <w:sz w:val="22"/>
        <w:szCs w:val="22"/>
      </w:rPr>
      <w:t>145</w:t>
    </w:r>
    <w:r w:rsidR="00343288">
      <w:rPr>
        <w:rFonts w:ascii="Cambria" w:hAnsi="Cambria"/>
        <w:color w:val="000000"/>
        <w:sz w:val="22"/>
        <w:szCs w:val="22"/>
      </w:rPr>
      <w:t>-</w:t>
    </w:r>
    <w:r w:rsidR="000F7BB2">
      <w:rPr>
        <w:rFonts w:ascii="Cambria" w:hAnsi="Cambria"/>
        <w:color w:val="000000"/>
        <w:sz w:val="22"/>
        <w:szCs w:val="22"/>
      </w:rPr>
      <w:t>158</w:t>
    </w:r>
  </w:p>
  <w:p w14:paraId="5F50B2DD" w14:textId="77777777" w:rsidR="00684090" w:rsidRDefault="00684090">
    <w:pPr>
      <w:pStyle w:val="Normal1"/>
      <w:pBdr>
        <w:top w:val="nil"/>
        <w:left w:val="nil"/>
        <w:bottom w:val="nil"/>
        <w:right w:val="nil"/>
        <w:between w:val="nil"/>
      </w:pBdr>
      <w:tabs>
        <w:tab w:val="center" w:pos="4680"/>
        <w:tab w:val="right" w:pos="9360"/>
      </w:tabs>
      <w:rPr>
        <w:rFonts w:ascii="Cambria" w:hAnsi="Cambria"/>
        <w:color w:val="000000"/>
        <w:sz w:val="22"/>
        <w:szCs w:val="22"/>
      </w:rPr>
    </w:pPr>
  </w:p>
  <w:p w14:paraId="65CB5747" w14:textId="78E40BC8" w:rsidR="00276F40" w:rsidRPr="00B121D5" w:rsidRDefault="00F33FC3">
    <w:pPr>
      <w:pStyle w:val="Normal1"/>
      <w:pBdr>
        <w:top w:val="nil"/>
        <w:left w:val="nil"/>
        <w:bottom w:val="nil"/>
        <w:right w:val="nil"/>
        <w:between w:val="nil"/>
      </w:pBdr>
      <w:tabs>
        <w:tab w:val="center" w:pos="4680"/>
        <w:tab w:val="right" w:pos="9360"/>
      </w:tabs>
      <w:rPr>
        <w:rFonts w:ascii="Cambria" w:hAnsi="Cambria"/>
        <w:color w:val="000000"/>
        <w:sz w:val="22"/>
        <w:szCs w:val="22"/>
      </w:rPr>
    </w:pPr>
    <w:r>
      <w:rPr>
        <w:noProof/>
      </w:rPr>
      <w:pict w14:anchorId="6DC7E5E5">
        <v:shapetype id="_x0000_t32" coordsize="21600,21600" o:spt="32" o:oned="t" path="m,l21600,21600e" filled="f">
          <v:path arrowok="t" fillok="f" o:connecttype="none"/>
          <o:lock v:ext="edit" shapetype="t"/>
        </v:shapetype>
        <v:shape id="Straight Arrow Connector 3" o:spid="_x0000_s1027" type="#_x0000_t32" style="position:absolute;margin-left:1pt;margin-top:7pt;width:1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" strokecolor="#4a7dba">
          <v:stroke startarrowwidth="narrow" startarrowlength="short" endarrowwidth="narrow" endarrowlength="shor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2596" w14:textId="067AB021" w:rsidR="00276F40" w:rsidRPr="00B121D5" w:rsidRDefault="000327CE">
    <w:pPr>
      <w:pStyle w:val="Normal1"/>
      <w:pBdr>
        <w:top w:val="nil"/>
        <w:left w:val="nil"/>
        <w:bottom w:val="nil"/>
        <w:right w:val="nil"/>
        <w:between w:val="nil"/>
      </w:pBdr>
      <w:tabs>
        <w:tab w:val="center" w:pos="4680"/>
        <w:tab w:val="right" w:pos="9360"/>
        <w:tab w:val="right" w:pos="8499"/>
      </w:tabs>
      <w:rPr>
        <w:rFonts w:ascii="Cambria" w:hAnsi="Cambria"/>
        <w:color w:val="000000"/>
        <w:sz w:val="22"/>
        <w:szCs w:val="22"/>
      </w:rPr>
    </w:pPr>
    <w:r w:rsidRPr="000327CE">
      <w:rPr>
        <w:rFonts w:ascii="Cambria" w:hAnsi="Cambria"/>
        <w:color w:val="000000"/>
        <w:sz w:val="22"/>
        <w:szCs w:val="22"/>
      </w:rPr>
      <w:t xml:space="preserve">Muhammad Yusup, Muhammad </w:t>
    </w:r>
    <w:proofErr w:type="spellStart"/>
    <w:r w:rsidRPr="000327CE">
      <w:rPr>
        <w:rFonts w:ascii="Cambria" w:hAnsi="Cambria"/>
        <w:color w:val="000000"/>
        <w:sz w:val="22"/>
        <w:szCs w:val="22"/>
      </w:rPr>
      <w:t>Dirga</w:t>
    </w:r>
    <w:proofErr w:type="spellEnd"/>
    <w:r w:rsidRPr="000327CE">
      <w:rPr>
        <w:rFonts w:ascii="Cambria" w:hAnsi="Cambria"/>
        <w:color w:val="000000"/>
        <w:sz w:val="22"/>
        <w:szCs w:val="22"/>
      </w:rPr>
      <w:t xml:space="preserve">, Rifai Hasan </w:t>
    </w:r>
    <w:proofErr w:type="spellStart"/>
    <w:r w:rsidRPr="000327CE">
      <w:rPr>
        <w:rFonts w:ascii="Cambria" w:hAnsi="Cambria"/>
        <w:color w:val="000000"/>
        <w:sz w:val="22"/>
        <w:szCs w:val="22"/>
      </w:rPr>
      <w:t>Sholeh</w:t>
    </w:r>
    <w:proofErr w:type="spellEnd"/>
  </w:p>
  <w:p w14:paraId="16B7EED2" w14:textId="62EA1B6C" w:rsidR="00F96072" w:rsidRDefault="003D12BD" w:rsidP="003D12BD">
    <w:pPr>
      <w:pStyle w:val="Title"/>
      <w:tabs>
        <w:tab w:val="left" w:pos="2085"/>
        <w:tab w:val="center" w:pos="3968"/>
      </w:tabs>
      <w:spacing w:line="240" w:lineRule="auto"/>
      <w:jc w:val="left"/>
      <w:rPr>
        <w:rFonts w:ascii="Cambria" w:hAnsi="Cambria"/>
        <w:color w:val="000000"/>
        <w:sz w:val="22"/>
        <w:szCs w:val="22"/>
      </w:rPr>
    </w:pPr>
    <w:r w:rsidRPr="003D12BD">
      <w:rPr>
        <w:rFonts w:ascii="Cambria" w:eastAsia="Times" w:hAnsi="Cambria" w:cs="Times"/>
        <w:b w:val="0"/>
        <w:i/>
        <w:sz w:val="22"/>
        <w:szCs w:val="22"/>
      </w:rPr>
      <w:t>Leadership Effectiveness: Education for Sustainable Developmen</w:t>
    </w:r>
    <w:r w:rsidR="000327CE">
      <w:rPr>
        <w:rFonts w:ascii="Cambria" w:eastAsia="Times" w:hAnsi="Cambria" w:cs="Times"/>
        <w:b w:val="0"/>
        <w:i/>
        <w:sz w:val="22"/>
        <w:szCs w:val="22"/>
      </w:rPr>
      <w:t>t</w:t>
    </w:r>
    <w:r w:rsidR="000327CE">
      <w:rPr>
        <w:rFonts w:ascii="Cambria" w:eastAsia="Times" w:hAnsi="Cambria" w:cs="Times"/>
        <w:b w:val="0"/>
        <w:i/>
        <w:sz w:val="22"/>
        <w:szCs w:val="22"/>
      </w:rPr>
      <w:tab/>
    </w:r>
    <w:r w:rsidR="000327CE">
      <w:rPr>
        <w:rFonts w:ascii="Cambria" w:eastAsia="Times" w:hAnsi="Cambria" w:cs="Times"/>
        <w:b w:val="0"/>
        <w:i/>
        <w:sz w:val="22"/>
        <w:szCs w:val="22"/>
      </w:rPr>
      <w:tab/>
    </w:r>
    <w:r w:rsidR="000327CE">
      <w:rPr>
        <w:rFonts w:ascii="Cambria" w:eastAsia="Times" w:hAnsi="Cambria" w:cs="Times"/>
        <w:b w:val="0"/>
        <w:i/>
        <w:sz w:val="22"/>
        <w:szCs w:val="22"/>
      </w:rPr>
      <w:tab/>
    </w:r>
    <w:r w:rsidR="000327CE">
      <w:rPr>
        <w:rFonts w:ascii="Cambria" w:eastAsia="Times" w:hAnsi="Cambria" w:cs="Times"/>
        <w:b w:val="0"/>
        <w:i/>
        <w:sz w:val="22"/>
        <w:szCs w:val="22"/>
      </w:rPr>
      <w:tab/>
    </w:r>
    <w:r w:rsidR="001D0E06" w:rsidRPr="00B121D5">
      <w:rPr>
        <w:rFonts w:ascii="Cambria" w:hAnsi="Cambria"/>
        <w:b w:val="0"/>
        <w:bCs/>
        <w:color w:val="000000"/>
      </w:rPr>
      <w:fldChar w:fldCharType="begin"/>
    </w:r>
    <w:r w:rsidR="003C70B3" w:rsidRPr="00B121D5">
      <w:rPr>
        <w:rFonts w:ascii="Cambria" w:hAnsi="Cambria"/>
        <w:b w:val="0"/>
        <w:bCs/>
        <w:color w:val="000000"/>
      </w:rPr>
      <w:instrText>PAGE</w:instrText>
    </w:r>
    <w:r w:rsidR="001D0E06" w:rsidRPr="00B121D5">
      <w:rPr>
        <w:rFonts w:ascii="Cambria" w:hAnsi="Cambria"/>
        <w:b w:val="0"/>
        <w:bCs/>
        <w:color w:val="000000"/>
      </w:rPr>
      <w:fldChar w:fldCharType="separate"/>
    </w:r>
    <w:r w:rsidR="001C47F0" w:rsidRPr="00B121D5">
      <w:rPr>
        <w:rFonts w:ascii="Cambria" w:hAnsi="Cambria"/>
        <w:b w:val="0"/>
        <w:bCs/>
        <w:noProof/>
        <w:color w:val="000000"/>
      </w:rPr>
      <w:t>11</w:t>
    </w:r>
    <w:r w:rsidR="001D0E06" w:rsidRPr="00B121D5">
      <w:rPr>
        <w:rFonts w:ascii="Cambria" w:hAnsi="Cambria"/>
        <w:b w:val="0"/>
        <w:bCs/>
        <w:color w:val="000000"/>
      </w:rPr>
      <w:fldChar w:fldCharType="end"/>
    </w:r>
  </w:p>
  <w:p w14:paraId="77A47FFE" w14:textId="69573421" w:rsidR="00276F40" w:rsidRPr="00B121D5" w:rsidRDefault="00F33FC3">
    <w:pPr>
      <w:pStyle w:val="Normal1"/>
      <w:pBdr>
        <w:top w:val="nil"/>
        <w:left w:val="nil"/>
        <w:bottom w:val="nil"/>
        <w:right w:val="nil"/>
        <w:between w:val="nil"/>
      </w:pBdr>
      <w:tabs>
        <w:tab w:val="center" w:pos="4680"/>
        <w:tab w:val="right" w:pos="9360"/>
        <w:tab w:val="left" w:pos="7284"/>
      </w:tabs>
      <w:rPr>
        <w:rFonts w:ascii="Cambria" w:hAnsi="Cambria"/>
        <w:color w:val="000000"/>
        <w:sz w:val="22"/>
        <w:szCs w:val="22"/>
      </w:rPr>
    </w:pPr>
    <w:r>
      <w:rPr>
        <w:noProof/>
      </w:rPr>
      <w:pict w14:anchorId="65FE5D62">
        <v:shapetype id="_x0000_t32" coordsize="21600,21600" o:spt="32" o:oned="t" path="m,l21600,21600e" filled="f">
          <v:path arrowok="t" fillok="f" o:connecttype="none"/>
          <o:lock v:ext="edit" shapetype="t"/>
        </v:shapetype>
        <v:shape id="Straight Arrow Connector 2" o:spid="_x0000_s1026" type="#_x0000_t32" style="position:absolute;margin-left:2pt;margin-top:6pt;width:1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" strokecolor="#4a7dba">
          <v:stroke startarrowwidth="narrow" startarrowlength="short" endarrowwidth="narrow" endarrowlength="shor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36F9" w14:textId="77777777" w:rsidR="00B121D5" w:rsidRPr="005C2E0F" w:rsidRDefault="00B121D5" w:rsidP="00B121D5">
    <w:pPr>
      <w:pBdr>
        <w:top w:val="nil"/>
        <w:left w:val="nil"/>
        <w:bottom w:val="nil"/>
        <w:right w:val="nil"/>
        <w:between w:val="nil"/>
      </w:pBdr>
      <w:tabs>
        <w:tab w:val="center" w:pos="4680"/>
        <w:tab w:val="right" w:pos="9360"/>
      </w:tabs>
      <w:spacing w:line="276" w:lineRule="auto"/>
      <w:rPr>
        <w:rFonts w:ascii="Cambria" w:eastAsia="Times" w:hAnsi="Cambria" w:cs="Times"/>
        <w:b/>
        <w:i/>
        <w:color w:val="000000"/>
        <w:sz w:val="22"/>
        <w:szCs w:val="22"/>
      </w:rPr>
    </w:pPr>
    <w:r w:rsidRPr="005C2E0F">
      <w:rPr>
        <w:rFonts w:ascii="Cambria" w:hAnsi="Cambria"/>
        <w:noProof/>
        <w:sz w:val="22"/>
        <w:szCs w:val="22"/>
        <w:lang w:val="id-ID"/>
      </w:rPr>
      <w:drawing>
        <wp:anchor distT="0" distB="0" distL="114300" distR="114300" simplePos="0" relativeHeight="251660288" behindDoc="0" locked="0" layoutInCell="1" allowOverlap="1" wp14:anchorId="3E41BF9B" wp14:editId="7B607918">
          <wp:simplePos x="0" y="0"/>
          <wp:positionH relativeFrom="column">
            <wp:posOffset>4972957</wp:posOffset>
          </wp:positionH>
          <wp:positionV relativeFrom="paragraph">
            <wp:posOffset>-173355</wp:posOffset>
          </wp:positionV>
          <wp:extent cx="707935" cy="889034"/>
          <wp:effectExtent l="0" t="0" r="3810" b="0"/>
          <wp:wrapNone/>
          <wp:docPr id="9" name="Picture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935" cy="889034"/>
                  </a:xfrm>
                  <a:prstGeom prst="rect">
                    <a:avLst/>
                  </a:prstGeom>
                </pic:spPr>
              </pic:pic>
            </a:graphicData>
          </a:graphic>
          <wp14:sizeRelH relativeFrom="page">
            <wp14:pctWidth>0</wp14:pctWidth>
          </wp14:sizeRelH>
          <wp14:sizeRelV relativeFrom="page">
            <wp14:pctHeight>0</wp14:pctHeight>
          </wp14:sizeRelV>
        </wp:anchor>
      </w:drawing>
    </w:r>
    <w:r w:rsidRPr="005C2E0F">
      <w:rPr>
        <w:rFonts w:ascii="Cambria" w:eastAsia="Times" w:hAnsi="Cambria" w:cs="Times"/>
        <w:b/>
        <w:i/>
        <w:color w:val="000000"/>
        <w:sz w:val="22"/>
        <w:szCs w:val="22"/>
      </w:rPr>
      <w:t>Development: Studies in Educational Management and Leadership</w:t>
    </w:r>
  </w:p>
  <w:p w14:paraId="7A20AFDE" w14:textId="508BBD0D" w:rsidR="00B121D5" w:rsidRPr="005C2E0F" w:rsidRDefault="004A50DD" w:rsidP="00B121D5">
    <w:pPr>
      <w:pBdr>
        <w:top w:val="nil"/>
        <w:left w:val="nil"/>
        <w:bottom w:val="nil"/>
        <w:right w:val="nil"/>
        <w:between w:val="nil"/>
      </w:pBdr>
      <w:tabs>
        <w:tab w:val="center" w:pos="4680"/>
        <w:tab w:val="right" w:pos="9360"/>
      </w:tabs>
      <w:spacing w:line="276" w:lineRule="auto"/>
      <w:rPr>
        <w:rFonts w:ascii="Cambria" w:eastAsia="Times" w:hAnsi="Cambria" w:cs="Times"/>
        <w:color w:val="000000"/>
        <w:sz w:val="20"/>
        <w:szCs w:val="20"/>
      </w:rPr>
    </w:pPr>
    <w:r w:rsidRPr="005C2E0F">
      <w:rPr>
        <w:rFonts w:ascii="Cambria" w:eastAsia="Times" w:hAnsi="Cambria" w:cs="Times"/>
        <w:color w:val="000000"/>
        <w:sz w:val="20"/>
        <w:szCs w:val="20"/>
      </w:rPr>
      <w:t xml:space="preserve">July – December </w:t>
    </w:r>
    <w:r w:rsidR="00B121D5" w:rsidRPr="005C2E0F">
      <w:rPr>
        <w:rFonts w:ascii="Cambria" w:eastAsia="Times" w:hAnsi="Cambria" w:cs="Times"/>
        <w:color w:val="000000"/>
        <w:sz w:val="20"/>
        <w:szCs w:val="20"/>
      </w:rPr>
      <w:t xml:space="preserve">Vol. </w:t>
    </w:r>
    <w:r w:rsidRPr="005C2E0F">
      <w:rPr>
        <w:rFonts w:ascii="Cambria" w:eastAsia="Times" w:hAnsi="Cambria" w:cs="Times"/>
        <w:color w:val="000000"/>
        <w:sz w:val="20"/>
        <w:szCs w:val="20"/>
      </w:rPr>
      <w:t>3</w:t>
    </w:r>
    <w:r w:rsidR="00B121D5" w:rsidRPr="005C2E0F">
      <w:rPr>
        <w:rFonts w:ascii="Cambria" w:eastAsia="Times" w:hAnsi="Cambria" w:cs="Times"/>
        <w:color w:val="000000"/>
        <w:sz w:val="20"/>
        <w:szCs w:val="20"/>
      </w:rPr>
      <w:t xml:space="preserve"> No.</w:t>
    </w:r>
    <w:r w:rsidRPr="005C2E0F">
      <w:rPr>
        <w:rFonts w:ascii="Cambria" w:eastAsia="Times" w:hAnsi="Cambria" w:cs="Times"/>
        <w:color w:val="000000"/>
        <w:sz w:val="20"/>
        <w:szCs w:val="20"/>
      </w:rPr>
      <w:t>2</w:t>
    </w:r>
    <w:r w:rsidR="00B121D5" w:rsidRPr="005C2E0F">
      <w:rPr>
        <w:rFonts w:ascii="Cambria" w:eastAsia="Times" w:hAnsi="Cambria" w:cs="Times"/>
        <w:color w:val="000000"/>
        <w:sz w:val="20"/>
        <w:szCs w:val="20"/>
      </w:rPr>
      <w:t xml:space="preserve"> (202</w:t>
    </w:r>
    <w:r w:rsidR="00585B9E" w:rsidRPr="005C2E0F">
      <w:rPr>
        <w:rFonts w:ascii="Cambria" w:eastAsia="Times" w:hAnsi="Cambria" w:cs="Times"/>
        <w:color w:val="000000"/>
        <w:sz w:val="20"/>
        <w:szCs w:val="20"/>
      </w:rPr>
      <w:t>4</w:t>
    </w:r>
    <w:r w:rsidR="00B121D5" w:rsidRPr="005C2E0F">
      <w:rPr>
        <w:rFonts w:ascii="Cambria" w:eastAsia="Times" w:hAnsi="Cambria" w:cs="Times"/>
        <w:color w:val="000000"/>
        <w:sz w:val="20"/>
        <w:szCs w:val="20"/>
      </w:rPr>
      <w:t xml:space="preserve">) | P. </w:t>
    </w:r>
    <w:r w:rsidR="000F7BB2" w:rsidRPr="005C2E0F">
      <w:rPr>
        <w:rFonts w:ascii="Cambria" w:eastAsia="Times" w:hAnsi="Cambria" w:cs="Times"/>
        <w:color w:val="000000"/>
        <w:sz w:val="20"/>
        <w:szCs w:val="20"/>
      </w:rPr>
      <w:t>145</w:t>
    </w:r>
    <w:r w:rsidR="00B121D5" w:rsidRPr="005C2E0F">
      <w:rPr>
        <w:rFonts w:ascii="Cambria" w:eastAsia="Times" w:hAnsi="Cambria" w:cs="Times"/>
        <w:color w:val="000000"/>
        <w:sz w:val="20"/>
        <w:szCs w:val="20"/>
      </w:rPr>
      <w:t>-</w:t>
    </w:r>
    <w:r w:rsidR="000F7BB2" w:rsidRPr="005C2E0F">
      <w:rPr>
        <w:rFonts w:ascii="Cambria" w:eastAsia="Times" w:hAnsi="Cambria" w:cs="Times"/>
        <w:color w:val="000000"/>
        <w:sz w:val="20"/>
        <w:szCs w:val="20"/>
      </w:rPr>
      <w:t>158</w:t>
    </w:r>
  </w:p>
  <w:p w14:paraId="5307C771" w14:textId="77777777" w:rsidR="00B121D5" w:rsidRPr="005C2E0F" w:rsidRDefault="00B121D5" w:rsidP="00B121D5">
    <w:pPr>
      <w:pBdr>
        <w:top w:val="nil"/>
        <w:left w:val="nil"/>
        <w:bottom w:val="nil"/>
        <w:right w:val="nil"/>
        <w:between w:val="nil"/>
      </w:pBdr>
      <w:tabs>
        <w:tab w:val="center" w:pos="4680"/>
        <w:tab w:val="right" w:pos="9360"/>
      </w:tabs>
      <w:spacing w:line="276" w:lineRule="auto"/>
      <w:rPr>
        <w:rFonts w:ascii="Cambria" w:eastAsia="Times" w:hAnsi="Cambria" w:cs="Times"/>
        <w:color w:val="000000"/>
        <w:sz w:val="20"/>
        <w:szCs w:val="20"/>
      </w:rPr>
    </w:pPr>
    <w:r w:rsidRPr="005C2E0F">
      <w:rPr>
        <w:rFonts w:ascii="Cambria" w:eastAsia="Times" w:hAnsi="Cambria" w:cs="Times"/>
        <w:color w:val="000000"/>
        <w:sz w:val="20"/>
        <w:szCs w:val="20"/>
      </w:rPr>
      <w:t>e-ISSN: 2964-0253</w:t>
    </w:r>
  </w:p>
  <w:p w14:paraId="6C7B1430" w14:textId="244CF816" w:rsidR="00B121D5" w:rsidRPr="005C2E0F" w:rsidRDefault="00B121D5" w:rsidP="00B121D5">
    <w:pPr>
      <w:spacing w:line="276" w:lineRule="auto"/>
      <w:rPr>
        <w:rFonts w:ascii="Calibri" w:hAnsi="Calibri" w:cs="Calibri"/>
        <w:sz w:val="20"/>
        <w:szCs w:val="20"/>
      </w:rPr>
    </w:pPr>
    <w:r w:rsidRPr="005C2E0F">
      <w:rPr>
        <w:rFonts w:ascii="Calibri" w:eastAsia="Times" w:hAnsi="Calibri" w:cs="Calibri"/>
        <w:sz w:val="20"/>
        <w:szCs w:val="20"/>
      </w:rPr>
      <w:t xml:space="preserve">DOI: </w:t>
    </w:r>
    <w:hyperlink r:id="rId3" w:history="1">
      <w:r w:rsidR="000F7BB2" w:rsidRPr="005C2E0F">
        <w:rPr>
          <w:rStyle w:val="Hyperlink"/>
          <w:rFonts w:ascii="Calibri" w:eastAsia="Times" w:hAnsi="Calibri" w:cs="Calibri"/>
          <w:sz w:val="20"/>
          <w:szCs w:val="20"/>
          <w:u w:val="none"/>
        </w:rPr>
        <w:t>https://doi.org/10.47766/development.v3i2.4845</w:t>
      </w:r>
    </w:hyperlink>
    <w:r w:rsidR="000F7BB2" w:rsidRPr="005C2E0F">
      <w:rPr>
        <w:rFonts w:ascii="Calibri" w:eastAsia="Times" w:hAnsi="Calibri" w:cs="Calibri"/>
        <w:sz w:val="20"/>
        <w:szCs w:val="20"/>
      </w:rPr>
      <w:t xml:space="preserve"> </w:t>
    </w:r>
  </w:p>
  <w:p w14:paraId="645C269A" w14:textId="02362C66" w:rsidR="00B121D5" w:rsidRPr="00C3539C" w:rsidRDefault="00F33FC3" w:rsidP="00C3539C">
    <w:pPr>
      <w:spacing w:line="276" w:lineRule="auto"/>
      <w:rPr>
        <w:rFonts w:ascii="Cambria" w:hAnsi="Cambria"/>
        <w:color w:val="000000"/>
        <w:sz w:val="20"/>
        <w:szCs w:val="20"/>
      </w:rPr>
    </w:pPr>
    <w:r>
      <w:rPr>
        <w:noProof/>
      </w:rPr>
      <w:pict w14:anchorId="0D940A8A">
        <v:rect id="Rectangle 1" o:spid="_x0000_s1025" style="position:absolute;margin-left:-1.5pt;margin-top:6.5pt;width:450.4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" fillcolor="#0070c0" stroked="f" strokeweight="2pt"/>
      </w:pict>
    </w:r>
  </w:p>
  <w:p w14:paraId="3817CC6B" w14:textId="77777777" w:rsidR="00276F40" w:rsidRPr="00B121D5" w:rsidRDefault="00276F40" w:rsidP="00B12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6CC"/>
    <w:multiLevelType w:val="hybridMultilevel"/>
    <w:tmpl w:val="9C04E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526F7"/>
    <w:multiLevelType w:val="hybridMultilevel"/>
    <w:tmpl w:val="341A2A94"/>
    <w:lvl w:ilvl="0" w:tplc="0409000F">
      <w:start w:val="1"/>
      <w:numFmt w:val="decimal"/>
      <w:lvlText w:val="%1."/>
      <w:lvlJc w:val="left"/>
      <w:pPr>
        <w:ind w:left="95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1231A1"/>
    <w:multiLevelType w:val="multilevel"/>
    <w:tmpl w:val="30ACAA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05B134E"/>
    <w:multiLevelType w:val="hybridMultilevel"/>
    <w:tmpl w:val="8CC623B8"/>
    <w:lvl w:ilvl="0" w:tplc="86084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B5090"/>
    <w:multiLevelType w:val="hybridMultilevel"/>
    <w:tmpl w:val="CC36DA96"/>
    <w:lvl w:ilvl="0" w:tplc="0409000F">
      <w:start w:val="1"/>
      <w:numFmt w:val="decimal"/>
      <w:lvlText w:val="%1."/>
      <w:lvlJc w:val="left"/>
      <w:pPr>
        <w:ind w:left="956" w:hanging="360"/>
      </w:p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5" w15:restartNumberingAfterBreak="0">
    <w:nsid w:val="166560A2"/>
    <w:multiLevelType w:val="hybridMultilevel"/>
    <w:tmpl w:val="65ACE1DC"/>
    <w:lvl w:ilvl="0" w:tplc="570E28A4">
      <w:start w:val="1"/>
      <w:numFmt w:val="decimal"/>
      <w:lvlText w:val="%1."/>
      <w:lvlJc w:val="left"/>
      <w:pPr>
        <w:ind w:left="596" w:hanging="360"/>
      </w:pPr>
      <w:rPr>
        <w:rFonts w:hint="default"/>
      </w:rPr>
    </w:lvl>
    <w:lvl w:ilvl="1" w:tplc="04090019" w:tentative="1">
      <w:start w:val="1"/>
      <w:numFmt w:val="lowerLetter"/>
      <w:lvlText w:val="%2."/>
      <w:lvlJc w:val="left"/>
      <w:pPr>
        <w:ind w:left="1316" w:hanging="360"/>
      </w:pPr>
    </w:lvl>
    <w:lvl w:ilvl="2" w:tplc="0409001B" w:tentative="1">
      <w:start w:val="1"/>
      <w:numFmt w:val="lowerRoman"/>
      <w:lvlText w:val="%3."/>
      <w:lvlJc w:val="right"/>
      <w:pPr>
        <w:ind w:left="2036" w:hanging="180"/>
      </w:pPr>
    </w:lvl>
    <w:lvl w:ilvl="3" w:tplc="0409000F" w:tentative="1">
      <w:start w:val="1"/>
      <w:numFmt w:val="decimal"/>
      <w:lvlText w:val="%4."/>
      <w:lvlJc w:val="left"/>
      <w:pPr>
        <w:ind w:left="2756" w:hanging="360"/>
      </w:pPr>
    </w:lvl>
    <w:lvl w:ilvl="4" w:tplc="04090019" w:tentative="1">
      <w:start w:val="1"/>
      <w:numFmt w:val="lowerLetter"/>
      <w:lvlText w:val="%5."/>
      <w:lvlJc w:val="left"/>
      <w:pPr>
        <w:ind w:left="3476" w:hanging="360"/>
      </w:pPr>
    </w:lvl>
    <w:lvl w:ilvl="5" w:tplc="0409001B" w:tentative="1">
      <w:start w:val="1"/>
      <w:numFmt w:val="lowerRoman"/>
      <w:lvlText w:val="%6."/>
      <w:lvlJc w:val="right"/>
      <w:pPr>
        <w:ind w:left="4196" w:hanging="180"/>
      </w:pPr>
    </w:lvl>
    <w:lvl w:ilvl="6" w:tplc="0409000F" w:tentative="1">
      <w:start w:val="1"/>
      <w:numFmt w:val="decimal"/>
      <w:lvlText w:val="%7."/>
      <w:lvlJc w:val="left"/>
      <w:pPr>
        <w:ind w:left="4916" w:hanging="360"/>
      </w:pPr>
    </w:lvl>
    <w:lvl w:ilvl="7" w:tplc="04090019" w:tentative="1">
      <w:start w:val="1"/>
      <w:numFmt w:val="lowerLetter"/>
      <w:lvlText w:val="%8."/>
      <w:lvlJc w:val="left"/>
      <w:pPr>
        <w:ind w:left="5636" w:hanging="360"/>
      </w:pPr>
    </w:lvl>
    <w:lvl w:ilvl="8" w:tplc="0409001B" w:tentative="1">
      <w:start w:val="1"/>
      <w:numFmt w:val="lowerRoman"/>
      <w:lvlText w:val="%9."/>
      <w:lvlJc w:val="right"/>
      <w:pPr>
        <w:ind w:left="6356" w:hanging="180"/>
      </w:pPr>
    </w:lvl>
  </w:abstractNum>
  <w:abstractNum w:abstractNumId="6" w15:restartNumberingAfterBreak="0">
    <w:nsid w:val="19F054BE"/>
    <w:multiLevelType w:val="hybridMultilevel"/>
    <w:tmpl w:val="C98A432A"/>
    <w:lvl w:ilvl="0" w:tplc="5E5EAC4E">
      <w:start w:val="1"/>
      <w:numFmt w:val="decimal"/>
      <w:lvlText w:val="%1."/>
      <w:lvlJc w:val="left"/>
      <w:pPr>
        <w:ind w:left="268" w:hanging="360"/>
      </w:pPr>
      <w:rPr>
        <w:rFonts w:hint="default"/>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7" w15:restartNumberingAfterBreak="0">
    <w:nsid w:val="334C35C5"/>
    <w:multiLevelType w:val="multilevel"/>
    <w:tmpl w:val="0DCEFA32"/>
    <w:lvl w:ilvl="0">
      <w:start w:val="1"/>
      <w:numFmt w:val="decimal"/>
      <w:lvlText w:val="%1."/>
      <w:lvlJc w:val="left"/>
      <w:pPr>
        <w:ind w:left="720" w:hanging="360"/>
      </w:pPr>
      <w:rPr>
        <w:rFonts w:ascii="Times New Roman" w:eastAsia="Times New Roman" w:hAnsi="Times New Roman" w:cs="Times New Roman"/>
        <w:i w:val="0"/>
      </w:rPr>
    </w:lvl>
    <w:lvl w:ilvl="1">
      <w:start w:val="1"/>
      <w:numFmt w:val="decimal"/>
      <w:lvlText w:val="%2."/>
      <w:lvlJc w:val="left"/>
      <w:pPr>
        <w:ind w:left="1440" w:hanging="360"/>
      </w:pPr>
      <w:rPr>
        <w:b w:val="0"/>
        <w:i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C96BA8"/>
    <w:multiLevelType w:val="hybridMultilevel"/>
    <w:tmpl w:val="AD9609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A6D1739"/>
    <w:multiLevelType w:val="hybridMultilevel"/>
    <w:tmpl w:val="529EDB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C62435E"/>
    <w:multiLevelType w:val="hybridMultilevel"/>
    <w:tmpl w:val="70D61C4A"/>
    <w:lvl w:ilvl="0" w:tplc="B29A45B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9E0230"/>
    <w:multiLevelType w:val="hybridMultilevel"/>
    <w:tmpl w:val="3CFE68A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046776B"/>
    <w:multiLevelType w:val="hybridMultilevel"/>
    <w:tmpl w:val="27F2DC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4D275C2"/>
    <w:multiLevelType w:val="multilevel"/>
    <w:tmpl w:val="D7F2FC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6C3588"/>
    <w:multiLevelType w:val="hybridMultilevel"/>
    <w:tmpl w:val="594E9730"/>
    <w:lvl w:ilvl="0" w:tplc="B7E45946">
      <w:start w:val="1"/>
      <w:numFmt w:val="decimal"/>
      <w:lvlText w:val="%1."/>
      <w:lvlJc w:val="left"/>
      <w:pPr>
        <w:ind w:left="810" w:hanging="360"/>
      </w:pPr>
      <w:rPr>
        <w:rFonts w:ascii="Times New Roman" w:eastAsiaTheme="minorHAnsi"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4E11243"/>
    <w:multiLevelType w:val="hybridMultilevel"/>
    <w:tmpl w:val="8342F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B63439"/>
    <w:multiLevelType w:val="hybridMultilevel"/>
    <w:tmpl w:val="7ED6563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4090A75"/>
    <w:multiLevelType w:val="multilevel"/>
    <w:tmpl w:val="B186F80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677B1CE7"/>
    <w:multiLevelType w:val="hybridMultilevel"/>
    <w:tmpl w:val="BD72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A438F1"/>
    <w:multiLevelType w:val="hybridMultilevel"/>
    <w:tmpl w:val="2A1E1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041699"/>
    <w:multiLevelType w:val="hybridMultilevel"/>
    <w:tmpl w:val="30D49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08344F"/>
    <w:multiLevelType w:val="hybridMultilevel"/>
    <w:tmpl w:val="DB782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034380">
    <w:abstractNumId w:val="17"/>
  </w:num>
  <w:num w:numId="2" w16cid:durableId="1265455449">
    <w:abstractNumId w:val="2"/>
  </w:num>
  <w:num w:numId="3" w16cid:durableId="515997199">
    <w:abstractNumId w:val="13"/>
  </w:num>
  <w:num w:numId="4" w16cid:durableId="1535852060">
    <w:abstractNumId w:val="7"/>
  </w:num>
  <w:num w:numId="5" w16cid:durableId="406223934">
    <w:abstractNumId w:val="12"/>
  </w:num>
  <w:num w:numId="6" w16cid:durableId="230505936">
    <w:abstractNumId w:val="16"/>
  </w:num>
  <w:num w:numId="7" w16cid:durableId="1671637472">
    <w:abstractNumId w:val="9"/>
  </w:num>
  <w:num w:numId="8" w16cid:durableId="1423070578">
    <w:abstractNumId w:val="8"/>
  </w:num>
  <w:num w:numId="9" w16cid:durableId="1337461342">
    <w:abstractNumId w:val="11"/>
  </w:num>
  <w:num w:numId="10" w16cid:durableId="718163388">
    <w:abstractNumId w:val="10"/>
  </w:num>
  <w:num w:numId="11" w16cid:durableId="7991536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11085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7158840">
    <w:abstractNumId w:val="6"/>
  </w:num>
  <w:num w:numId="14" w16cid:durableId="1676957504">
    <w:abstractNumId w:val="14"/>
  </w:num>
  <w:num w:numId="15" w16cid:durableId="1004284388">
    <w:abstractNumId w:val="3"/>
  </w:num>
  <w:num w:numId="16" w16cid:durableId="21711920">
    <w:abstractNumId w:val="0"/>
  </w:num>
  <w:num w:numId="17" w16cid:durableId="1467745765">
    <w:abstractNumId w:val="15"/>
  </w:num>
  <w:num w:numId="18" w16cid:durableId="498737468">
    <w:abstractNumId w:val="4"/>
  </w:num>
  <w:num w:numId="19" w16cid:durableId="1959336008">
    <w:abstractNumId w:val="5"/>
  </w:num>
  <w:num w:numId="20" w16cid:durableId="1180654890">
    <w:abstractNumId w:val="1"/>
  </w:num>
  <w:num w:numId="21" w16cid:durableId="437795473">
    <w:abstractNumId w:val="18"/>
  </w:num>
  <w:num w:numId="22" w16cid:durableId="410578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evenAndOddHeaders/>
  <w:characterSpacingControl w:val="doNotCompress"/>
  <w:hdrShapeDefaults>
    <o:shapedefaults v:ext="edit" spidmax="2050"/>
    <o:shapelayout v:ext="edit">
      <o:idmap v:ext="edit" data="1"/>
      <o:rules v:ext="edit">
        <o:r id="V:Rule1" type="connector" idref="#Straight Arrow Connector 2"/>
        <o:r id="V:Rule2" type="connector" idref="#Straight Arrow Connector 3"/>
      </o:rules>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76F40"/>
    <w:rsid w:val="00001BF0"/>
    <w:rsid w:val="0001537D"/>
    <w:rsid w:val="000164EE"/>
    <w:rsid w:val="0003226E"/>
    <w:rsid w:val="000327CE"/>
    <w:rsid w:val="000334A3"/>
    <w:rsid w:val="00071DF7"/>
    <w:rsid w:val="000813A9"/>
    <w:rsid w:val="000D09A8"/>
    <w:rsid w:val="000F0795"/>
    <w:rsid w:val="000F378C"/>
    <w:rsid w:val="000F7BB2"/>
    <w:rsid w:val="0010008E"/>
    <w:rsid w:val="001218F1"/>
    <w:rsid w:val="00124ED7"/>
    <w:rsid w:val="00125447"/>
    <w:rsid w:val="001254C3"/>
    <w:rsid w:val="00135E0B"/>
    <w:rsid w:val="00140653"/>
    <w:rsid w:val="00150839"/>
    <w:rsid w:val="00171EBE"/>
    <w:rsid w:val="00184F23"/>
    <w:rsid w:val="001B0948"/>
    <w:rsid w:val="001B1654"/>
    <w:rsid w:val="001C47F0"/>
    <w:rsid w:val="001C4BA7"/>
    <w:rsid w:val="001C6747"/>
    <w:rsid w:val="001D0E06"/>
    <w:rsid w:val="00216E38"/>
    <w:rsid w:val="00221921"/>
    <w:rsid w:val="00221B04"/>
    <w:rsid w:val="0022367F"/>
    <w:rsid w:val="0023036E"/>
    <w:rsid w:val="00245B85"/>
    <w:rsid w:val="0025385D"/>
    <w:rsid w:val="00264BFB"/>
    <w:rsid w:val="00276F40"/>
    <w:rsid w:val="0028460C"/>
    <w:rsid w:val="0028473F"/>
    <w:rsid w:val="002C0EFB"/>
    <w:rsid w:val="002E7F09"/>
    <w:rsid w:val="00303292"/>
    <w:rsid w:val="00334976"/>
    <w:rsid w:val="00343288"/>
    <w:rsid w:val="00346181"/>
    <w:rsid w:val="00370D04"/>
    <w:rsid w:val="00395DDD"/>
    <w:rsid w:val="003A19C6"/>
    <w:rsid w:val="003A6126"/>
    <w:rsid w:val="003B5A42"/>
    <w:rsid w:val="003C49A1"/>
    <w:rsid w:val="003C70B3"/>
    <w:rsid w:val="003D12BD"/>
    <w:rsid w:val="003D573A"/>
    <w:rsid w:val="004275CC"/>
    <w:rsid w:val="00455409"/>
    <w:rsid w:val="004661E2"/>
    <w:rsid w:val="00472CAA"/>
    <w:rsid w:val="0049067A"/>
    <w:rsid w:val="004A49F3"/>
    <w:rsid w:val="004A50DD"/>
    <w:rsid w:val="004E208B"/>
    <w:rsid w:val="004E3F55"/>
    <w:rsid w:val="004F266B"/>
    <w:rsid w:val="005675B1"/>
    <w:rsid w:val="0058525F"/>
    <w:rsid w:val="00585B9E"/>
    <w:rsid w:val="005A37C0"/>
    <w:rsid w:val="005B1DF2"/>
    <w:rsid w:val="005B1EAF"/>
    <w:rsid w:val="005C2E0F"/>
    <w:rsid w:val="005E70E6"/>
    <w:rsid w:val="005F30EE"/>
    <w:rsid w:val="005F5EAA"/>
    <w:rsid w:val="005F66D4"/>
    <w:rsid w:val="00613FB4"/>
    <w:rsid w:val="00630383"/>
    <w:rsid w:val="00632B38"/>
    <w:rsid w:val="00655B27"/>
    <w:rsid w:val="00684090"/>
    <w:rsid w:val="00691CE5"/>
    <w:rsid w:val="00694A17"/>
    <w:rsid w:val="006B67BB"/>
    <w:rsid w:val="006B7C31"/>
    <w:rsid w:val="006C08D7"/>
    <w:rsid w:val="006C11FC"/>
    <w:rsid w:val="006F0BF5"/>
    <w:rsid w:val="00700BA4"/>
    <w:rsid w:val="00720088"/>
    <w:rsid w:val="00734A8B"/>
    <w:rsid w:val="007464CD"/>
    <w:rsid w:val="007554FC"/>
    <w:rsid w:val="00773CF7"/>
    <w:rsid w:val="007C1E73"/>
    <w:rsid w:val="007D0ED1"/>
    <w:rsid w:val="007D32D2"/>
    <w:rsid w:val="00800A8A"/>
    <w:rsid w:val="00811040"/>
    <w:rsid w:val="00820CDF"/>
    <w:rsid w:val="00824DC5"/>
    <w:rsid w:val="008421B3"/>
    <w:rsid w:val="008531C5"/>
    <w:rsid w:val="00856B28"/>
    <w:rsid w:val="008748CD"/>
    <w:rsid w:val="00877B1B"/>
    <w:rsid w:val="00893684"/>
    <w:rsid w:val="008C6303"/>
    <w:rsid w:val="008F51EA"/>
    <w:rsid w:val="00907FAF"/>
    <w:rsid w:val="009244F0"/>
    <w:rsid w:val="00927E45"/>
    <w:rsid w:val="00954066"/>
    <w:rsid w:val="009A0E6D"/>
    <w:rsid w:val="009A297A"/>
    <w:rsid w:val="009B5A6E"/>
    <w:rsid w:val="009B675D"/>
    <w:rsid w:val="009D59F0"/>
    <w:rsid w:val="009E1BDD"/>
    <w:rsid w:val="00A04AA9"/>
    <w:rsid w:val="00A16DD9"/>
    <w:rsid w:val="00A36C52"/>
    <w:rsid w:val="00A62E7E"/>
    <w:rsid w:val="00AD13DE"/>
    <w:rsid w:val="00AD4B2D"/>
    <w:rsid w:val="00AF09DF"/>
    <w:rsid w:val="00B121D5"/>
    <w:rsid w:val="00B35100"/>
    <w:rsid w:val="00B36D78"/>
    <w:rsid w:val="00B52D07"/>
    <w:rsid w:val="00B966A2"/>
    <w:rsid w:val="00BA7BFA"/>
    <w:rsid w:val="00BD6C0B"/>
    <w:rsid w:val="00C023E1"/>
    <w:rsid w:val="00C3539C"/>
    <w:rsid w:val="00C52BB2"/>
    <w:rsid w:val="00C556B4"/>
    <w:rsid w:val="00C62439"/>
    <w:rsid w:val="00C7400F"/>
    <w:rsid w:val="00C84B56"/>
    <w:rsid w:val="00CC5505"/>
    <w:rsid w:val="00CE45B1"/>
    <w:rsid w:val="00D0609D"/>
    <w:rsid w:val="00D16419"/>
    <w:rsid w:val="00D27449"/>
    <w:rsid w:val="00D31101"/>
    <w:rsid w:val="00D3621E"/>
    <w:rsid w:val="00D413AD"/>
    <w:rsid w:val="00D50266"/>
    <w:rsid w:val="00D61AF9"/>
    <w:rsid w:val="00DA1EB1"/>
    <w:rsid w:val="00DD5AD0"/>
    <w:rsid w:val="00E04B4A"/>
    <w:rsid w:val="00E41129"/>
    <w:rsid w:val="00E476AF"/>
    <w:rsid w:val="00E6368C"/>
    <w:rsid w:val="00E638ED"/>
    <w:rsid w:val="00E66FBC"/>
    <w:rsid w:val="00E67601"/>
    <w:rsid w:val="00EB3AD5"/>
    <w:rsid w:val="00F1759D"/>
    <w:rsid w:val="00F27621"/>
    <w:rsid w:val="00F30AE2"/>
    <w:rsid w:val="00F33FC3"/>
    <w:rsid w:val="00F4171F"/>
    <w:rsid w:val="00F41B58"/>
    <w:rsid w:val="00F4326F"/>
    <w:rsid w:val="00F82043"/>
    <w:rsid w:val="00F82FC6"/>
    <w:rsid w:val="00F87E86"/>
    <w:rsid w:val="00F93629"/>
    <w:rsid w:val="00F96072"/>
    <w:rsid w:val="00FA0824"/>
    <w:rsid w:val="00FA2A37"/>
    <w:rsid w:val="00FE215A"/>
    <w:rsid w:val="00FE66F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61916"/>
  <w15:docId w15:val="{C794DD9E-05B3-9B40-A4CA-57DDAD0F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BDD"/>
  </w:style>
  <w:style w:type="paragraph" w:styleId="Heading1">
    <w:name w:val="heading 1"/>
    <w:basedOn w:val="Normal1"/>
    <w:next w:val="Normal1"/>
    <w:link w:val="Heading1Char"/>
    <w:uiPriority w:val="9"/>
    <w:qFormat/>
    <w:rsid w:val="00276F40"/>
    <w:pPr>
      <w:spacing w:line="360" w:lineRule="auto"/>
      <w:jc w:val="center"/>
      <w:outlineLvl w:val="0"/>
    </w:pPr>
    <w:rPr>
      <w:rFonts w:ascii="Cambria" w:eastAsia="Cambria" w:hAnsi="Cambria" w:cs="Cambria"/>
      <w:b/>
    </w:rPr>
  </w:style>
  <w:style w:type="paragraph" w:styleId="Heading2">
    <w:name w:val="heading 2"/>
    <w:basedOn w:val="Normal1"/>
    <w:next w:val="Normal1"/>
    <w:rsid w:val="00276F40"/>
    <w:pPr>
      <w:spacing w:line="360" w:lineRule="auto"/>
      <w:ind w:left="1800" w:right="51" w:hanging="360"/>
      <w:jc w:val="both"/>
      <w:outlineLvl w:val="1"/>
    </w:pPr>
    <w:rPr>
      <w:rFonts w:ascii="Cambria Math" w:eastAsia="Cambria Math" w:hAnsi="Cambria Math" w:cs="Cambria Math"/>
      <w:b/>
    </w:rPr>
  </w:style>
  <w:style w:type="paragraph" w:styleId="Heading3">
    <w:name w:val="heading 3"/>
    <w:basedOn w:val="Normal1"/>
    <w:next w:val="Normal1"/>
    <w:rsid w:val="00276F40"/>
    <w:pPr>
      <w:keepNext/>
      <w:keepLines/>
      <w:spacing w:before="40"/>
      <w:outlineLvl w:val="2"/>
    </w:pPr>
    <w:rPr>
      <w:rFonts w:ascii="Cambria" w:eastAsia="Cambria" w:hAnsi="Cambria" w:cs="Cambria"/>
      <w:color w:val="243F61"/>
    </w:rPr>
  </w:style>
  <w:style w:type="paragraph" w:styleId="Heading4">
    <w:name w:val="heading 4"/>
    <w:basedOn w:val="Normal1"/>
    <w:next w:val="Normal1"/>
    <w:rsid w:val="00276F40"/>
    <w:pPr>
      <w:keepNext/>
      <w:keepLines/>
      <w:spacing w:before="240" w:after="40"/>
      <w:outlineLvl w:val="3"/>
    </w:pPr>
    <w:rPr>
      <w:b/>
    </w:rPr>
  </w:style>
  <w:style w:type="paragraph" w:styleId="Heading5">
    <w:name w:val="heading 5"/>
    <w:basedOn w:val="Normal1"/>
    <w:next w:val="Normal1"/>
    <w:rsid w:val="00276F40"/>
    <w:pPr>
      <w:keepNext/>
      <w:keepLines/>
      <w:spacing w:before="220" w:after="40"/>
      <w:outlineLvl w:val="4"/>
    </w:pPr>
    <w:rPr>
      <w:b/>
      <w:sz w:val="22"/>
      <w:szCs w:val="22"/>
    </w:rPr>
  </w:style>
  <w:style w:type="paragraph" w:styleId="Heading6">
    <w:name w:val="heading 6"/>
    <w:basedOn w:val="Normal1"/>
    <w:next w:val="Normal1"/>
    <w:rsid w:val="00276F4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76F40"/>
  </w:style>
  <w:style w:type="paragraph" w:styleId="Title">
    <w:name w:val="Title"/>
    <w:basedOn w:val="Normal1"/>
    <w:next w:val="Normal1"/>
    <w:link w:val="TitleChar"/>
    <w:uiPriority w:val="10"/>
    <w:qFormat/>
    <w:rsid w:val="00276F40"/>
    <w:pPr>
      <w:spacing w:line="480" w:lineRule="auto"/>
      <w:jc w:val="center"/>
    </w:pPr>
    <w:rPr>
      <w:b/>
    </w:rPr>
  </w:style>
  <w:style w:type="paragraph" w:styleId="Subtitle">
    <w:name w:val="Subtitle"/>
    <w:basedOn w:val="Normal1"/>
    <w:next w:val="Normal1"/>
    <w:rsid w:val="00276F40"/>
    <w:pPr>
      <w:keepNext/>
      <w:keepLines/>
      <w:spacing w:before="360" w:after="80"/>
    </w:pPr>
    <w:rPr>
      <w:rFonts w:ascii="Georgia" w:eastAsia="Georgia" w:hAnsi="Georgia" w:cs="Georgia"/>
      <w:i/>
      <w:color w:val="666666"/>
      <w:sz w:val="48"/>
      <w:szCs w:val="48"/>
    </w:rPr>
  </w:style>
  <w:style w:type="table" w:customStyle="1" w:styleId="a">
    <w:basedOn w:val="TableNormal"/>
    <w:rsid w:val="00276F40"/>
    <w:tblPr>
      <w:tblStyleRowBandSize w:val="1"/>
      <w:tblStyleColBandSize w:val="1"/>
      <w:tblCellMar>
        <w:top w:w="142" w:type="dxa"/>
        <w:left w:w="142" w:type="dxa"/>
        <w:bottom w:w="142" w:type="dxa"/>
        <w:right w:w="170" w:type="dxa"/>
      </w:tblCellMar>
    </w:tblPr>
  </w:style>
  <w:style w:type="table" w:customStyle="1" w:styleId="a0">
    <w:basedOn w:val="TableNormal"/>
    <w:rsid w:val="00276F40"/>
    <w:tblPr>
      <w:tblStyleRowBandSize w:val="1"/>
      <w:tblStyleColBandSize w:val="1"/>
      <w:tblCellMar>
        <w:left w:w="115" w:type="dxa"/>
        <w:right w:w="115" w:type="dxa"/>
      </w:tblCellMar>
    </w:tblPr>
  </w:style>
  <w:style w:type="table" w:customStyle="1" w:styleId="a1">
    <w:basedOn w:val="TableNormal"/>
    <w:rsid w:val="00276F40"/>
    <w:tblPr>
      <w:tblStyleRowBandSize w:val="1"/>
      <w:tblStyleColBandSize w:val="1"/>
      <w:tblCellMar>
        <w:left w:w="115" w:type="dxa"/>
        <w:right w:w="115" w:type="dxa"/>
      </w:tblCellMar>
    </w:tblPr>
  </w:style>
  <w:style w:type="table" w:customStyle="1" w:styleId="a2">
    <w:basedOn w:val="TableNormal"/>
    <w:rsid w:val="00276F40"/>
    <w:tblPr>
      <w:tblStyleRowBandSize w:val="1"/>
      <w:tblStyleColBandSize w:val="1"/>
      <w:tblCellMar>
        <w:left w:w="115" w:type="dxa"/>
        <w:right w:w="115" w:type="dxa"/>
      </w:tblCellMar>
    </w:tblPr>
  </w:style>
  <w:style w:type="table" w:customStyle="1" w:styleId="a3">
    <w:basedOn w:val="TableNormal"/>
    <w:rsid w:val="00276F40"/>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472CAA"/>
    <w:rPr>
      <w:rFonts w:ascii="Tahoma" w:hAnsi="Tahoma" w:cs="Tahoma"/>
      <w:sz w:val="16"/>
      <w:szCs w:val="16"/>
    </w:rPr>
  </w:style>
  <w:style w:type="character" w:customStyle="1" w:styleId="BalloonTextChar">
    <w:name w:val="Balloon Text Char"/>
    <w:basedOn w:val="DefaultParagraphFont"/>
    <w:link w:val="BalloonText"/>
    <w:uiPriority w:val="99"/>
    <w:semiHidden/>
    <w:rsid w:val="00472CAA"/>
    <w:rPr>
      <w:rFonts w:ascii="Tahoma" w:hAnsi="Tahoma" w:cs="Tahoma"/>
      <w:sz w:val="16"/>
      <w:szCs w:val="16"/>
    </w:rPr>
  </w:style>
  <w:style w:type="table" w:styleId="TableGrid">
    <w:name w:val="Table Grid"/>
    <w:basedOn w:val="TableNormal"/>
    <w:uiPriority w:val="39"/>
    <w:rsid w:val="001218F1"/>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5E70E6"/>
    <w:pPr>
      <w:spacing w:after="160" w:line="259" w:lineRule="auto"/>
      <w:ind w:left="720"/>
      <w:contextualSpacing/>
    </w:pPr>
    <w:rPr>
      <w:rFonts w:ascii="Calibri" w:eastAsia="Calibri" w:hAnsi="Calibri" w:cs="Calibri"/>
      <w:sz w:val="22"/>
      <w:szCs w:val="22"/>
      <w:lang w:val="en-US" w:eastAsia="en-US"/>
    </w:rPr>
  </w:style>
  <w:style w:type="character" w:customStyle="1" w:styleId="TitleChar">
    <w:name w:val="Title Char"/>
    <w:basedOn w:val="DefaultParagraphFont"/>
    <w:link w:val="Title"/>
    <w:uiPriority w:val="10"/>
    <w:rsid w:val="005E70E6"/>
    <w:rPr>
      <w:b/>
    </w:rPr>
  </w:style>
  <w:style w:type="paragraph" w:styleId="FootnoteText">
    <w:name w:val="footnote text"/>
    <w:basedOn w:val="Normal"/>
    <w:link w:val="FootnoteTextChar"/>
    <w:uiPriority w:val="99"/>
    <w:unhideWhenUsed/>
    <w:rsid w:val="00A36C52"/>
    <w:rPr>
      <w:rFonts w:ascii="Calibri" w:eastAsia="Calibri" w:hAnsi="Calibri" w:cs="Calibri"/>
      <w:sz w:val="20"/>
      <w:szCs w:val="20"/>
      <w:lang w:val="en-US" w:eastAsia="en-US"/>
    </w:rPr>
  </w:style>
  <w:style w:type="character" w:customStyle="1" w:styleId="FootnoteTextChar">
    <w:name w:val="Footnote Text Char"/>
    <w:basedOn w:val="DefaultParagraphFont"/>
    <w:link w:val="FootnoteText"/>
    <w:uiPriority w:val="99"/>
    <w:rsid w:val="00A36C52"/>
    <w:rPr>
      <w:rFonts w:ascii="Calibri" w:eastAsia="Calibri" w:hAnsi="Calibri" w:cs="Calibri"/>
      <w:sz w:val="20"/>
      <w:szCs w:val="20"/>
      <w:lang w:val="en-US" w:eastAsia="en-US"/>
    </w:rPr>
  </w:style>
  <w:style w:type="character" w:styleId="FootnoteReference">
    <w:name w:val="footnote reference"/>
    <w:basedOn w:val="DefaultParagraphFont"/>
    <w:uiPriority w:val="99"/>
    <w:semiHidden/>
    <w:unhideWhenUsed/>
    <w:rsid w:val="00C023E1"/>
    <w:rPr>
      <w:vertAlign w:val="superscript"/>
    </w:rPr>
  </w:style>
  <w:style w:type="character" w:customStyle="1" w:styleId="Heading1Char">
    <w:name w:val="Heading 1 Char"/>
    <w:basedOn w:val="DefaultParagraphFont"/>
    <w:link w:val="Heading1"/>
    <w:uiPriority w:val="9"/>
    <w:rsid w:val="00AD4B2D"/>
    <w:rPr>
      <w:rFonts w:ascii="Cambria" w:eastAsia="Cambria" w:hAnsi="Cambria" w:cs="Cambria"/>
      <w:b/>
    </w:rPr>
  </w:style>
  <w:style w:type="paragraph" w:styleId="Bibliography">
    <w:name w:val="Bibliography"/>
    <w:basedOn w:val="Normal"/>
    <w:next w:val="Normal"/>
    <w:uiPriority w:val="37"/>
    <w:unhideWhenUsed/>
    <w:rsid w:val="00AD4B2D"/>
  </w:style>
  <w:style w:type="paragraph" w:styleId="NoSpacing">
    <w:name w:val="No Spacing"/>
    <w:uiPriority w:val="1"/>
    <w:qFormat/>
    <w:rsid w:val="00FE66F2"/>
  </w:style>
  <w:style w:type="character" w:styleId="CommentReference">
    <w:name w:val="annotation reference"/>
    <w:basedOn w:val="DefaultParagraphFont"/>
    <w:uiPriority w:val="99"/>
    <w:semiHidden/>
    <w:unhideWhenUsed/>
    <w:rsid w:val="008C6303"/>
    <w:rPr>
      <w:sz w:val="16"/>
      <w:szCs w:val="16"/>
    </w:rPr>
  </w:style>
  <w:style w:type="paragraph" w:styleId="CommentText">
    <w:name w:val="annotation text"/>
    <w:basedOn w:val="Normal"/>
    <w:link w:val="CommentTextChar"/>
    <w:uiPriority w:val="99"/>
    <w:semiHidden/>
    <w:unhideWhenUsed/>
    <w:rsid w:val="008C6303"/>
    <w:rPr>
      <w:sz w:val="20"/>
      <w:szCs w:val="20"/>
    </w:rPr>
  </w:style>
  <w:style w:type="character" w:customStyle="1" w:styleId="CommentTextChar">
    <w:name w:val="Comment Text Char"/>
    <w:basedOn w:val="DefaultParagraphFont"/>
    <w:link w:val="CommentText"/>
    <w:uiPriority w:val="99"/>
    <w:semiHidden/>
    <w:rsid w:val="008C6303"/>
    <w:rPr>
      <w:sz w:val="20"/>
      <w:szCs w:val="20"/>
    </w:rPr>
  </w:style>
  <w:style w:type="paragraph" w:styleId="CommentSubject">
    <w:name w:val="annotation subject"/>
    <w:basedOn w:val="CommentText"/>
    <w:next w:val="CommentText"/>
    <w:link w:val="CommentSubjectChar"/>
    <w:uiPriority w:val="99"/>
    <w:semiHidden/>
    <w:unhideWhenUsed/>
    <w:rsid w:val="008C6303"/>
    <w:rPr>
      <w:b/>
      <w:bCs/>
    </w:rPr>
  </w:style>
  <w:style w:type="character" w:customStyle="1" w:styleId="CommentSubjectChar">
    <w:name w:val="Comment Subject Char"/>
    <w:basedOn w:val="CommentTextChar"/>
    <w:link w:val="CommentSubject"/>
    <w:uiPriority w:val="99"/>
    <w:semiHidden/>
    <w:rsid w:val="008C6303"/>
    <w:rPr>
      <w:b/>
      <w:bCs/>
      <w:sz w:val="20"/>
      <w:szCs w:val="20"/>
    </w:rPr>
  </w:style>
  <w:style w:type="character" w:styleId="Hyperlink">
    <w:name w:val="Hyperlink"/>
    <w:basedOn w:val="DefaultParagraphFont"/>
    <w:uiPriority w:val="99"/>
    <w:unhideWhenUsed/>
    <w:rsid w:val="00811040"/>
    <w:rPr>
      <w:color w:val="0000FF" w:themeColor="hyperlink"/>
      <w:u w:val="single"/>
    </w:rPr>
  </w:style>
  <w:style w:type="character" w:styleId="UnresolvedMention">
    <w:name w:val="Unresolved Mention"/>
    <w:basedOn w:val="DefaultParagraphFont"/>
    <w:uiPriority w:val="99"/>
    <w:semiHidden/>
    <w:unhideWhenUsed/>
    <w:rsid w:val="00811040"/>
    <w:rPr>
      <w:color w:val="605E5C"/>
      <w:shd w:val="clear" w:color="auto" w:fill="E1DFDD"/>
    </w:rPr>
  </w:style>
  <w:style w:type="paragraph" w:styleId="Footer">
    <w:name w:val="footer"/>
    <w:basedOn w:val="Normal"/>
    <w:link w:val="FooterChar"/>
    <w:uiPriority w:val="99"/>
    <w:unhideWhenUsed/>
    <w:rsid w:val="00811040"/>
    <w:pPr>
      <w:tabs>
        <w:tab w:val="center" w:pos="4680"/>
        <w:tab w:val="right" w:pos="9360"/>
      </w:tabs>
    </w:pPr>
  </w:style>
  <w:style w:type="character" w:customStyle="1" w:styleId="FooterChar">
    <w:name w:val="Footer Char"/>
    <w:basedOn w:val="DefaultParagraphFont"/>
    <w:link w:val="Footer"/>
    <w:uiPriority w:val="99"/>
    <w:rsid w:val="00811040"/>
  </w:style>
  <w:style w:type="paragraph" w:styleId="Header">
    <w:name w:val="header"/>
    <w:basedOn w:val="Normal"/>
    <w:link w:val="HeaderChar"/>
    <w:unhideWhenUsed/>
    <w:rsid w:val="00B121D5"/>
    <w:pPr>
      <w:tabs>
        <w:tab w:val="center" w:pos="4680"/>
        <w:tab w:val="right" w:pos="9360"/>
      </w:tabs>
    </w:pPr>
  </w:style>
  <w:style w:type="character" w:customStyle="1" w:styleId="HeaderChar">
    <w:name w:val="Header Char"/>
    <w:basedOn w:val="DefaultParagraphFont"/>
    <w:link w:val="Header"/>
    <w:uiPriority w:val="99"/>
    <w:rsid w:val="00B121D5"/>
  </w:style>
  <w:style w:type="character" w:customStyle="1" w:styleId="ListParagraphChar">
    <w:name w:val="List Paragraph Char"/>
    <w:aliases w:val="Body of text Char"/>
    <w:link w:val="ListParagraph"/>
    <w:uiPriority w:val="34"/>
    <w:qFormat/>
    <w:locked/>
    <w:rsid w:val="007464CD"/>
    <w:rPr>
      <w:rFonts w:ascii="Calibri" w:eastAsia="Calibri" w:hAnsi="Calibri" w:cs="Calibri"/>
      <w:sz w:val="22"/>
      <w:szCs w:val="22"/>
      <w:lang w:val="en-US" w:eastAsia="en-US"/>
    </w:rPr>
  </w:style>
  <w:style w:type="character" w:styleId="FollowedHyperlink">
    <w:name w:val="FollowedHyperlink"/>
    <w:basedOn w:val="DefaultParagraphFont"/>
    <w:uiPriority w:val="99"/>
    <w:semiHidden/>
    <w:unhideWhenUsed/>
    <w:rsid w:val="00C3539C"/>
    <w:rPr>
      <w:color w:val="800080" w:themeColor="followedHyperlink"/>
      <w:u w:val="single"/>
    </w:rPr>
  </w:style>
  <w:style w:type="paragraph" w:customStyle="1" w:styleId="JRPMBody">
    <w:name w:val="JRPM_Body"/>
    <w:basedOn w:val="Normal"/>
    <w:qFormat/>
    <w:rsid w:val="00585B9E"/>
    <w:pPr>
      <w:ind w:firstLine="567"/>
      <w:jc w:val="both"/>
    </w:pPr>
    <w:rPr>
      <w:sz w:val="22"/>
      <w:lang w:val="id-ID" w:eastAsia="en-US"/>
    </w:rPr>
  </w:style>
  <w:style w:type="paragraph" w:customStyle="1" w:styleId="JRPMTableCaption">
    <w:name w:val="JRPM_TableCaption"/>
    <w:basedOn w:val="Normal"/>
    <w:qFormat/>
    <w:rsid w:val="00585B9E"/>
    <w:pPr>
      <w:spacing w:before="120" w:after="120" w:line="240" w:lineRule="atLeast"/>
    </w:pPr>
    <w:rPr>
      <w:b/>
      <w:sz w:val="22"/>
      <w:lang w:val="id-ID" w:eastAsia="en-US"/>
    </w:rPr>
  </w:style>
  <w:style w:type="paragraph" w:customStyle="1" w:styleId="p1">
    <w:name w:val="p1"/>
    <w:basedOn w:val="Normal"/>
    <w:rsid w:val="00893684"/>
    <w:rPr>
      <w:rFonts w:ascii="Helvetica" w:hAnsi="Helvetica"/>
      <w:color w:val="000000"/>
      <w:sz w:val="15"/>
      <w:szCs w:val="15"/>
      <w:lang w:val="en-ID" w:eastAsia="en-US"/>
    </w:rPr>
  </w:style>
  <w:style w:type="character" w:customStyle="1" w:styleId="s1">
    <w:name w:val="s1"/>
    <w:basedOn w:val="DefaultParagraphFont"/>
    <w:rsid w:val="00893684"/>
    <w:rPr>
      <w:rFonts w:ascii="Wingdings" w:hAnsi="Wingdings" w:hint="default"/>
      <w:sz w:val="9"/>
      <w:szCs w:val="9"/>
    </w:rPr>
  </w:style>
  <w:style w:type="character" w:customStyle="1" w:styleId="s2">
    <w:name w:val="s2"/>
    <w:basedOn w:val="DefaultParagraphFont"/>
    <w:rsid w:val="00893684"/>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639567">
      <w:bodyDiv w:val="1"/>
      <w:marLeft w:val="0"/>
      <w:marRight w:val="0"/>
      <w:marTop w:val="0"/>
      <w:marBottom w:val="0"/>
      <w:divBdr>
        <w:top w:val="none" w:sz="0" w:space="0" w:color="auto"/>
        <w:left w:val="none" w:sz="0" w:space="0" w:color="auto"/>
        <w:bottom w:val="none" w:sz="0" w:space="0" w:color="auto"/>
        <w:right w:val="none" w:sz="0" w:space="0" w:color="auto"/>
      </w:divBdr>
    </w:div>
    <w:div w:id="1391033366">
      <w:bodyDiv w:val="1"/>
      <w:marLeft w:val="0"/>
      <w:marRight w:val="0"/>
      <w:marTop w:val="0"/>
      <w:marBottom w:val="0"/>
      <w:divBdr>
        <w:top w:val="none" w:sz="0" w:space="0" w:color="auto"/>
        <w:left w:val="none" w:sz="0" w:space="0" w:color="auto"/>
        <w:bottom w:val="none" w:sz="0" w:space="0" w:color="auto"/>
        <w:right w:val="none" w:sz="0" w:space="0" w:color="auto"/>
      </w:divBdr>
    </w:div>
    <w:div w:id="178481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47766/development.v3i2.4845" TargetMode="External"/><Relationship Id="rId18" Type="http://schemas.openxmlformats.org/officeDocument/2006/relationships/hyperlink" Target="https://doi.org/10.15548/jt.v28i2.666" TargetMode="External"/><Relationship Id="rId26" Type="http://schemas.openxmlformats.org/officeDocument/2006/relationships/hyperlink" Target="https://doi.org/10.1002/jid.3114" TargetMode="External"/><Relationship Id="rId39" Type="http://schemas.openxmlformats.org/officeDocument/2006/relationships/theme" Target="theme/theme1.xml"/><Relationship Id="rId21" Type="http://schemas.openxmlformats.org/officeDocument/2006/relationships/hyperlink" Target="https://doi.org/10.1007/s12647-022-00541-w"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07/978-981-99-6368-3_45" TargetMode="External"/><Relationship Id="rId25" Type="http://schemas.openxmlformats.org/officeDocument/2006/relationships/hyperlink" Target="https://doi.org/10.1080/00139157.2020.1820294"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jclepro.2015.08.100" TargetMode="External"/><Relationship Id="rId20" Type="http://schemas.openxmlformats.org/officeDocument/2006/relationships/hyperlink" Target="https://doi.org/10.1007/s11125-016-9380-7" TargetMode="External"/><Relationship Id="rId29" Type="http://schemas.openxmlformats.org/officeDocument/2006/relationships/hyperlink" Target="https://doi.org/10.1108/096964711110959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21511/ppm.22(1).2024.16" TargetMode="External"/><Relationship Id="rId32" Type="http://schemas.openxmlformats.org/officeDocument/2006/relationships/hyperlink" Target="https://doi.org/10.1007/978-3-031-36286-6_1"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jclepro.2014.02.008" TargetMode="External"/><Relationship Id="rId23" Type="http://schemas.openxmlformats.org/officeDocument/2006/relationships/hyperlink" Target="https://doi.org/10.1177/2455133321994210" TargetMode="External"/><Relationship Id="rId28" Type="http://schemas.openxmlformats.org/officeDocument/2006/relationships/hyperlink" Target="https://www.scopus.com/inward/record.uri?eid=2-s2.0-85195298549&amp;partnerID=40&amp;md5=c042cf402527c45211932183049c7a48" TargetMode="External"/><Relationship Id="rId36" Type="http://schemas.openxmlformats.org/officeDocument/2006/relationships/header" Target="header3.xml"/><Relationship Id="rId10" Type="http://schemas.openxmlformats.org/officeDocument/2006/relationships/hyperlink" Target="http://creativecommons.org/licenses/by/4.0/" TargetMode="External"/><Relationship Id="rId19" Type="http://schemas.openxmlformats.org/officeDocument/2006/relationships/hyperlink" Target="https://doi.org/10.1108/SAMPJ-12-2012-0043" TargetMode="External"/><Relationship Id="rId31" Type="http://schemas.openxmlformats.org/officeDocument/2006/relationships/hyperlink" Target="https://doi.org/10.3390/su16051979" TargetMode="Externa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hyperlink" Target="https://doi.org/10.3389/fmtec.2022.951643" TargetMode="External"/><Relationship Id="rId22" Type="http://schemas.openxmlformats.org/officeDocument/2006/relationships/hyperlink" Target="https://doi.org/10.1108/09696471111096000" TargetMode="External"/><Relationship Id="rId27" Type="http://schemas.openxmlformats.org/officeDocument/2006/relationships/hyperlink" Target="https://doi.org/10.1145/3639060" TargetMode="External"/><Relationship Id="rId30" Type="http://schemas.openxmlformats.org/officeDocument/2006/relationships/hyperlink" Target="https://doi.org/10.47766/idarah.v8i1.1381"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3" Type="http://schemas.openxmlformats.org/officeDocument/2006/relationships/hyperlink" Target="https://doi.org/10.47766/development.v3i2.4845" TargetMode="External"/><Relationship Id="rId2" Type="http://schemas.openxmlformats.org/officeDocument/2006/relationships/image" Target="media/image4.png"/><Relationship Id="rId1" Type="http://schemas.openxmlformats.org/officeDocument/2006/relationships/hyperlink" Target="https://journal.iainlhokseumawe.ac.id/index.php/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Moh03</b:Tag>
    <b:SourceType>JournalArticle</b:SourceType>
    <b:Guid>{4A52AB57-67EA-4326-AC16-3256A210D31B}</b:Guid>
    <b:LCID>0</b:LCID>
    <b:Author>
      <b:Author>
        <b:NameList>
          <b:Person>
            <b:Last>Mudzakkir</b:Last>
            <b:First>Mohd</b:First>
          </b:Person>
        </b:NameList>
      </b:Author>
    </b:Author>
    <b:Title>Praktik Budaya Aakademik Mahasiswa</b:Title>
    <b:JournalName>Jurnal Paradigma</b:JournalName>
    <b:Year>2003</b:Year>
    <b:Pages>1-12</b:Pages>
    <b:RefOrder>1</b:RefOrder>
  </b:Source>
  <b:Source>
    <b:Tag>Sep09</b:Tag>
    <b:SourceType>JournalArticle</b:SourceType>
    <b:Guid>{0391DC60-14B5-4917-B16C-D36D0453C46A}</b:Guid>
    <b:LCID>0</b:LCID>
    <b:Author>
      <b:Author>
        <b:NameList>
          <b:Person>
            <b:Last>Kurnia</b:Last>
            <b:First>Septiawan</b:First>
            <b:Middle>Santana and Suriani</b:Middle>
          </b:Person>
        </b:NameList>
      </b:Author>
    </b:Author>
    <b:Title>Budaya Akademik Internasional Mahasiswa Indonesia di Australian dan Kanada</b:Title>
    <b:JournalName>Jurnal Sosial dan Pembangunan</b:JournalName>
    <b:Year>2009</b:Year>
    <b:Pages>119-142</b:Pages>
    <b:RefOrder>2</b:RefOrder>
  </b:Source>
  <b:Source>
    <b:Tag>CSa18</b:Tag>
    <b:SourceType>JournalArticle</b:SourceType>
    <b:Guid>{4032B56D-BDC3-4DE0-9F3F-84CFAF352719}</b:Guid>
    <b:LCID>0</b:LCID>
    <b:Author>
      <b:Author>
        <b:NameList>
          <b:Person>
            <b:Last>Sa'adah</b:Last>
            <b:First>C.</b:First>
          </b:Person>
        </b:NameList>
      </b:Author>
    </b:Author>
    <b:Title>Praktik Budaya Akademik Mahasiswa Prodi Manajemen Pendidikan Islam di UIN Sunan Ampwl</b:Title>
    <b:Year>2018</b:Year>
    <b:RefOrder>3</b:RefOrder>
  </b:Source>
  <b:Source>
    <b:Tag>Est22</b:Tag>
    <b:SourceType>JournalArticle</b:SourceType>
    <b:Guid>{D5425C75-CFE3-4C02-A6C5-838DCBADC38E}</b:Guid>
    <b:LCID>0</b:LCID>
    <b:Author>
      <b:Author>
        <b:NameList>
          <b:Person>
            <b:Last>Wulandari</b:Last>
            <b:First>Esti</b:First>
          </b:Person>
        </b:NameList>
      </b:Author>
    </b:Author>
    <b:Title>Strategi Mahasiswa Kampus </b:Title>
    <b:Year>2022</b:Year>
    <b:RefOrder>4</b:RefOrder>
  </b:Source>
  <b:Source>
    <b:Tag>Muh17</b:Tag>
    <b:SourceType>JournalArticle</b:SourceType>
    <b:Guid>{CB6A9AB1-F501-44AE-A1CB-D19BD97C71C1}</b:Guid>
    <b:LCID>0</b:LCID>
    <b:Author>
      <b:Author>
        <b:NameList>
          <b:Person>
            <b:Last>Zarkasyi</b:Last>
            <b:First>Muhammad</b:First>
            <b:Middle>Ridlo</b:Middle>
          </b:Person>
        </b:NameList>
      </b:Author>
    </b:Author>
    <b:Title>Membangun Budaya Akademik pada Perguruan Tinggi Pesantren</b:Title>
    <b:JournalName>Al-Tijarah 3</b:JournalName>
    <b:Year>2017</b:Year>
    <b:Pages>65</b:Pages>
    <b:RefOrder>5</b:RefOrder>
  </b:Source>
  <b:Source>
    <b:Tag>Far22</b:Tag>
    <b:SourceType>JournalArticle</b:SourceType>
    <b:Guid>{FEBD10D2-87A5-49AA-A401-2CE7D88C804D}</b:Guid>
    <b:LCID>0</b:LCID>
    <b:Author>
      <b:Author>
        <b:NameList>
          <b:Person>
            <b:Last>Alfaruq</b:Last>
            <b:First>Farkhan</b:First>
            <b:Middle>Abdurrochim</b:Middle>
          </b:Person>
        </b:NameList>
      </b:Author>
    </b:Author>
    <b:Title>Dampak Budaya Akademik Kampus Terhadap Gaya Hidup Mahasiswa Perantau</b:Title>
    <b:Year>2022</b:Year>
    <b:RefOrder>6</b:RefOrder>
  </b:Source>
  <b:Source>
    <b:Tag>Wiw15</b:Tag>
    <b:SourceType>JournalArticle</b:SourceType>
    <b:Guid>{C9024CDE-22A5-49FC-9CAD-53F79B185026}</b:Guid>
    <b:LCID>0</b:LCID>
    <b:Author>
      <b:Author>
        <b:NameList>
          <b:Person>
            <b:Last>Widayani</b:Last>
            <b:First>Wiwin</b:First>
          </b:Person>
        </b:NameList>
      </b:Author>
    </b:Author>
    <b:Title>Budaya Akademik dan Etos Kerja, Sikap Terbuka dan Adil</b:Title>
    <b:Year>2015</b:Year>
    <b:Pages>4</b:Pages>
    <b:RefOrder>7</b:RefOrder>
  </b:Source>
  <b:Source>
    <b:Tag>AHa09</b:Tag>
    <b:SourceType>JournalArticle</b:SourceType>
    <b:Guid>{FA21F064-BCEE-4ABF-B2C0-5BA229C2173C}</b:Guid>
    <b:LCID>0</b:LCID>
    <b:Author>
      <b:Author>
        <b:NameList>
          <b:Person>
            <b:Last>A.Halim</b:Last>
            <b:First>Dkk</b:First>
          </b:Person>
        </b:NameList>
      </b:Author>
    </b:Author>
    <b:Title>Manajemen Pesantren</b:Title>
    <b:Year>2009</b:Year>
    <b:Pages>3</b:Pages>
    <b:RefOrder>8</b:RefOrder>
  </b:Source>
  <b:Source>
    <b:Tag>Nur11</b:Tag>
    <b:SourceType>JournalArticle</b:SourceType>
    <b:Guid>{B86C9CEA-CF8C-4455-B4AE-823BC0AC6193}</b:Guid>
    <b:LCID>0</b:LCID>
    <b:Author>
      <b:Author>
        <b:NameList>
          <b:Person>
            <b:Last>Zazin</b:Last>
            <b:First>Nur</b:First>
          </b:Person>
        </b:NameList>
      </b:Author>
    </b:Author>
    <b:Title>Gerakan Menata Mutu Pendidikan</b:Title>
    <b:Year>2011</b:Year>
    <b:Pages>149</b:Pages>
    <b:RefOrder>9</b:RefOrder>
  </b:Source>
  <b:Source>
    <b:Tag>Soe09</b:Tag>
    <b:SourceType>JournalArticle</b:SourceType>
    <b:Guid>{C7C3D4E3-8A7D-45BB-A270-334AF84311D1}</b:Guid>
    <b:LCID>0</b:LCID>
    <b:Author>
      <b:Author>
        <b:NameList>
          <b:Person>
            <b:Last>R.Kosasi</b:Last>
            <b:First>Soejipto</b:First>
            <b:Middle>and</b:Middle>
          </b:Person>
        </b:NameList>
      </b:Author>
    </b:Author>
    <b:Title>Profesi Keguruan</b:Title>
    <b:Year>2009</b:Year>
    <b:Pages>2-3</b:Pages>
    <b:RefOrder>10</b:RefOrder>
  </b:Source>
  <b:Source>
    <b:Tag>Sam12</b:Tag>
    <b:SourceType>JournalArticle</b:SourceType>
    <b:Guid>{7AD1119E-B988-4D7C-987F-64E819F05EF3}</b:Guid>
    <b:LCID>0</b:LCID>
    <b:Author>
      <b:Author>
        <b:NameList>
          <b:Person>
            <b:Last>Samudi</b:Last>
          </b:Person>
        </b:NameList>
      </b:Author>
    </b:Author>
    <b:Title>Upaya Meningkatkan Budaya Akademik di Perguruan Tinggi</b:Title>
    <b:Year>2012</b:Year>
    <b:RefOrder>11</b:RefOrder>
  </b:Source>
  <b:Source>
    <b:Tag>Mah20</b:Tag>
    <b:SourceType>JournalArticle</b:SourceType>
    <b:Guid>{76942B71-0529-4B01-A3EA-F1C747E26B23}</b:Guid>
    <b:LCID>0</b:LCID>
    <b:Author>
      <b:Author>
        <b:NameList>
          <b:Person>
            <b:Last>Mahariah</b:Last>
          </b:Person>
        </b:NameList>
      </b:Author>
    </b:Author>
    <b:Title>Implementasi Budaya Akademik Mahasiswa FTIK UIN Sumatra Utara dalam Membentuk Pendidikan Profesional</b:Title>
    <b:Year>2020</b:Year>
    <b:Pages>30</b:Pages>
    <b:RefOrder>12</b:RefOrder>
  </b:Source>
  <b:Source>
    <b:Tag>Ans19</b:Tag>
    <b:SourceType>JournalArticle</b:SourceType>
    <b:Guid>{C137AEF0-EC33-486D-9D13-6CA01F4C3C40}</b:Guid>
    <b:LCID>0</b:LCID>
    <b:Author>
      <b:Author>
        <b:NameList>
          <b:Person>
            <b:Last>Ansar</b:Last>
            <b:First>dkk</b:First>
          </b:Person>
        </b:NameList>
      </b:Author>
    </b:Author>
    <b:Title>Budaya Mutu Akademik di Fakultas Ilmu Pendidikan Universitas Negeri Makassar </b:Title>
    <b:Year>2019</b:Year>
    <b:RefOrder>15</b:RefOrder>
  </b:Source>
  <b:Source>
    <b:Tag>Tau10</b:Tag>
    <b:SourceType>JournalArticle</b:SourceType>
    <b:Guid>{A122CAA1-B8C0-47C9-AA14-B045E380E02D}</b:Guid>
    <b:LCID>0</b:LCID>
    <b:Author>
      <b:Author>
        <b:NameList>
          <b:Person>
            <b:Last>Taufiqurrahman</b:Last>
          </b:Person>
        </b:NameList>
      </b:Author>
    </b:Author>
    <b:Title>Narasi Indah Perjalanan Hidup Pemikiran Imam Suprayogo</b:Title>
    <b:Year>2010</b:Year>
    <b:Pages>176</b:Pages>
    <b:RefOrder>16</b:RefOrder>
  </b:Source>
  <b:Source>
    <b:Tag>Sua18</b:Tag>
    <b:SourceType>JournalArticle</b:SourceType>
    <b:Guid>{2CAD397A-AAB9-4A51-96AE-F4A621EACAA7}</b:Guid>
    <b:LCID>0</b:LCID>
    <b:Author>
      <b:Author>
        <b:NameList>
          <b:Person>
            <b:Last>Suardi</b:Last>
          </b:Person>
        </b:NameList>
      </b:Author>
    </b:Author>
    <b:Title>Implementasi Program Ma'had Universitas Islam Negeri Ar-Raniry</b:Title>
    <b:Year>2018</b:Year>
    <b:RefOrder>17</b:RefOrder>
  </b:Source>
  <b:Source>
    <b:Tag>Kha10</b:Tag>
    <b:SourceType>JournalArticle</b:SourceType>
    <b:Guid>{5A88296E-6A11-4837-8CAE-27B2F48091A1}</b:Guid>
    <b:LCID>0</b:LCID>
    <b:Author>
      <b:Author>
        <b:NameList>
          <b:Person>
            <b:Last>Kurniawan</b:Last>
            <b:First>Khaerudin</b:First>
          </b:Person>
        </b:NameList>
      </b:Author>
    </b:Author>
    <b:Title>Membangun Kultur Akademik Perguruan Tinggi</b:Title>
    <b:JournalName>Jurnal Kajian Teori dan Praktik Pendidikan</b:JournalName>
    <b:Year>2010</b:Year>
    <b:RefOrder>18</b:RefOrder>
  </b:Source>
  <b:Source>
    <b:Tag>Ais08</b:Tag>
    <b:SourceType>JournalArticle</b:SourceType>
    <b:Guid>{43FBEFBF-83FB-49FD-8F29-7814A36286EE}</b:Guid>
    <b:LCID>0</b:LCID>
    <b:Author>
      <b:Author>
        <b:NameList>
          <b:Person>
            <b:Last>Aisya</b:Last>
          </b:Person>
        </b:NameList>
      </b:Author>
    </b:Author>
    <b:Year>2008</b:Year>
    <b:RefOrder>19</b:RefOrder>
  </b:Source>
  <b:Source>
    <b:Tag>Sup15</b:Tag>
    <b:SourceType>JournalArticle</b:SourceType>
    <b:Guid>{F14BF15C-4056-451A-9F33-7C6818560B4C}</b:Guid>
    <b:LCID>0</b:LCID>
    <b:Author>
      <b:Author>
        <b:NameList>
          <b:Person>
            <b:Last>Suprayitno</b:Last>
            <b:First>dkk</b:First>
          </b:Person>
        </b:NameList>
      </b:Author>
    </b:Author>
    <b:Year>2015</b:Year>
    <b:RefOrder>20</b:RefOrder>
  </b:Source>
  <b:Source>
    <b:Tag>Pra15</b:Tag>
    <b:SourceType>JournalArticle</b:SourceType>
    <b:Guid>{37FF618B-5D26-4417-A648-88B66505350B}</b:Guid>
    <b:LCID>0</b:LCID>
    <b:Author>
      <b:Author>
        <b:NameList>
          <b:Person>
            <b:Last>Mandala</b:Last>
            <b:First>Pratiwi</b:First>
            <b:Middle>&amp;</b:Middle>
          </b:Person>
        </b:NameList>
      </b:Author>
    </b:Author>
    <b:Year>2015</b:Year>
    <b:RefOrder>21</b:RefOrder>
  </b:Source>
  <b:Source>
    <b:Tag>Ami06</b:Tag>
    <b:SourceType>JournalArticle</b:SourceType>
    <b:Guid>{7953C0B0-2A0B-427D-94F2-AD78F2E23940}</b:Guid>
    <b:LCID>0</b:LCID>
    <b:Author>
      <b:Author>
        <b:NameList>
          <b:Person>
            <b:Last>Hanif</b:Last>
            <b:First>Amin</b:First>
            <b:Middle>Hiedari and Adullah</b:Middle>
          </b:Person>
        </b:NameList>
      </b:Author>
    </b:Author>
    <b:Title>Masa Depan Pesantren dalam Tantangan Modernitas</b:Title>
    <b:Year>2006</b:Year>
    <b:Pages>162</b:Pages>
    <b:RefOrder>22</b:RefOrder>
  </b:Source>
  <b:Source>
    <b:Tag>Dwi15</b:Tag>
    <b:SourceType>JournalArticle</b:SourceType>
    <b:Guid>{25A1CB2E-C5C4-4B37-BA83-3A087586C6E0}</b:Guid>
    <b:LCID>0</b:LCID>
    <b:Author>
      <b:Author>
        <b:NameList>
          <b:Person>
            <b:Last>Hikmah</b:Last>
            <b:First>Dwi</b:First>
            <b:Middle>Nur</b:Middle>
          </b:Person>
        </b:NameList>
      </b:Author>
    </b:Author>
    <b:Title>Impleentasi Budaya Akademik dan Sikap Ilmiah Mahasiswa</b:Title>
    <b:JournalName>Jurnal Manajemen Pendidikan</b:JournalName>
    <b:Year>2015</b:Year>
    <b:RefOrder>23</b:RefOrder>
  </b:Source>
  <b:Source>
    <b:Tag>Jaj20</b:Tag>
    <b:SourceType>JournalArticle</b:SourceType>
    <b:Guid>{B3BB76EF-61DF-4907-86F9-571BF18EA511}</b:Guid>
    <b:LCID>0</b:LCID>
    <b:Author>
      <b:Author>
        <b:NameList>
          <b:Person>
            <b:Last>Suteja</b:Last>
            <b:First>Jaja</b:First>
          </b:Person>
        </b:NameList>
      </b:Author>
    </b:Author>
    <b:Title>Membangun Budaya Akademik</b:Title>
    <b:Year>2020</b:Year>
    <b:Pages>1-9</b:Pages>
    <b:RefOrder>24</b:RefOrder>
  </b:Source>
  <b:Source>
    <b:Tag>Mar20</b:Tag>
    <b:SourceType>JournalArticle</b:SourceType>
    <b:Guid>{FCAD2F11-ADC1-4D25-A897-BCED0B9CBF07}</b:Guid>
    <b:LCID>0</b:LCID>
    <b:Author>
      <b:Author>
        <b:NameList>
          <b:Person>
            <b:Last>Hastuti</b:Last>
            <b:First>Maria</b:First>
            <b:Middle>Agatha Sri Widyanti</b:Middle>
          </b:Person>
        </b:NameList>
      </b:Author>
    </b:Author>
    <b:Title>Pengaruh Promosi Terhadap Keputusan Pembelian</b:Title>
    <b:JournalName>Jurnal Ilmiah Ekonomi dan Bisnis</b:JournalName>
    <b:Year>2020</b:Year>
    <b:Pages>100</b:Pages>
    <b:RefOrder>14</b:RefOrder>
  </b:Source>
  <b:Source>
    <b:Tag>Bay19</b:Tag>
    <b:SourceType>JournalArticle</b:SourceType>
    <b:Guid>{A9045635-063B-4D56-9A25-3A525A60C3D7}</b:Guid>
    <b:LCID>0</b:LCID>
    <b:Author>
      <b:Author>
        <b:NameList>
          <b:Person>
            <b:Last>Rianto</b:Last>
            <b:First>Bayu</b:First>
          </b:Person>
        </b:NameList>
      </b:Author>
    </b:Author>
    <b:Title>Website Penyediaan Informasi Rumah Kos</b:Title>
    <b:JournalName>Jurnal Teknik Industri</b:JournalName>
    <b:Year>2019</b:Year>
    <b:Pages>36</b:Pages>
    <b:RefOrder>13</b:RefOrder>
  </b:Source>
  <b:Source>
    <b:Tag>Azh13</b:Tag>
    <b:SourceType>JournalArticle</b:SourceType>
    <b:Guid>{0B0F415E-E8CB-4846-BD49-B0911DCC81BA}</b:Guid>
    <b:LCID>0</b:LCID>
    <b:Author>
      <b:Author>
        <b:NameList>
          <b:Person>
            <b:Last>Azhar</b:Last>
            <b:First>Khairil</b:First>
          </b:Person>
        </b:NameList>
      </b:Author>
    </b:Author>
    <b:Title>Aplikasi Pencarian Rumah Menggunakan Metode Perbandingan Ekspodensial</b:Title>
    <b:Year>2013</b:Year>
    <b:RefOrder>25</b:RefOrder>
  </b:Source>
</b:Sources>
</file>

<file path=customXml/itemProps1.xml><?xml version="1.0" encoding="utf-8"?>
<ds:datastoreItem xmlns:ds="http://schemas.openxmlformats.org/officeDocument/2006/customXml" ds:itemID="{4D224FB4-1B87-46BB-A53C-D6BDA1B35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15</Pages>
  <Words>14363</Words>
  <Characters>81871</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Ayesha</cp:lastModifiedBy>
  <cp:revision>61</cp:revision>
  <dcterms:created xsi:type="dcterms:W3CDTF">2023-01-07T16:25:00Z</dcterms:created>
  <dcterms:modified xsi:type="dcterms:W3CDTF">2025-10-14T14:05:00Z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Document_1">
    <vt:lpwstr>True</vt:lpwstr>
  </property>
  <property fmtid="{D5CDD505-2E9C-101B-9397-08002B2CF9AE}" pid="23" name="Mendeley Unique User Id_1">
    <vt:lpwstr>2729e178-8913-32cf-b824-eb6d19458cf5</vt:lpwstr>
  </property>
  <property fmtid="{D5CDD505-2E9C-101B-9397-08002B2CF9AE}" pid="24" name="Mendeley Citation Style_1">
    <vt:lpwstr>http://www.zotero.org/styles/apa</vt:lpwstr>
  </property>
  <property fmtid="{D5CDD505-2E9C-101B-9397-08002B2CF9AE}" pid="25" name="GrammarlyDocumentId">
    <vt:lpwstr>d16a3074-c5dc-4e2b-a273-f7539512907c</vt:lpwstr>
  </property>
</Properties>
</file>